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35.2014.90 vom 17. Dezember 2014</w:t>
      </w:r>
    </w:p>
    <w:p>
      <w:r>
        <w:t>TI Tribunale d'appello, 2014-12-17, IT</w:t>
      </w:r>
    </w:p>
    <w:p>
      <w:r>
        <w:rPr>
          <w:b/>
        </w:rPr>
        <w:t xml:space="preserve">Quelle: </w:t>
      </w:r>
      <w:r>
        <w:t>https://mcp.opencaselaw.ch/entscheid/ti_gerichte_35.2014.90</w:t>
      </w:r>
    </w:p>
    <w:p>
      <w:r>
        <w:t>FR: TI_GERICHTE 35.2014.90 du 17 décembre 2014</w:t>
      </w:r>
    </w:p>
    <w:p>
      <w:r>
        <w:t>IT: TI_GERICHTE 35.2014.90 del 17 dicembre 2014</w:t>
      </w:r>
    </w:p>
    <w:p>
      <w:pPr>
        <w:pStyle w:val="Heading2"/>
      </w:pPr>
      <w:r>
        <w:t>Regeste</w:t>
      </w:r>
    </w:p>
    <w:p>
      <w:r>
        <w:t>Condono. Buona fede. L'amministrazione - a giusta ragione - ha ritenuto che l'assicurato non fosse in buona fede, in quanto con un'adeguata e ragionevolmente esigibile attenzione avrebbe dovuto riscontrare l'errore nel calcolo dell'indennità giornaliera</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2.3.   La giurisprudenza sviluppata dal Tribunale federale delle assicurazioni (TFA) in merito al condono regolato dal vecchio art. 95 LADI conserva tutta la sua validità anche con l’entrata in vigore dell’art. 25 LPGA (cfr. STFA del 27 aprile 2005 nella causa R., C 174/04; U. Kieser, ATSG Kommentar, Schulthess 2003, ad art 25, n. 45). L'art. 4 OPGA regola il condono. Se il beneficiario era in buona fede e si trova in gravi difficoltà, l’assicuratore rinuncia completamente o in parte alla restituzione delle prestazioni indebitamente concesse (cfr. art. 4 cpv. 1 OPGA). 2.4.   Relativamente alla buona fede, la giurisprudenza distingue la mancanza di coscienza dell’irregolarità commessa, dalla questione di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(sentenza 8C_617/2009 del 5 novembre 2009, consid. 5.2; SVR 2007 IV Nr. 13 p.49, 2003 IV Nr. 4 p.10, 2002 EL Nr. 9 p.21; Pratique VSI 1994 p.126; DTF 122 V 221 = Pratique VSI 1996 p.269). La buona fede non è infatti compatibile con un comportamento di grave negligenza da parte dell'assicurato (Meyer-Blaser, Die Rückerstattung von Sozialversicherungsleistungen, in: RSJB 1995, p.481). Compete al giudice,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cfr. art. 31 LPGA) siano imputabili a comportamento doloso o a negligenza grave dell'interessato. Viceversa, l'assicurato può prevalersene quando l'atto o l'omissione colpevole siano costitutivi unicamente di una violazione lieve dell'obbligo di annunciare o di informare (sentenza 8C_617/2009 del 5 novembre 2009, consid. 5.2 e SVR 2007 IV Nr. 13 p.49 entrambe con riferimenti) oppure se non ha violato tale obbligo. Infatti, la buona fede presuppone che l'assicurato ignori che una prestazione gli è versata indebitamente. Di detta ignoranza egli non si può avvalere se la stessa è stata determinata da sua negligenza. 2.5. In una sentenza C 70/03 del 2 luglio 2003, pubblicata in DLA 2005 N. 7 pag. 70, relativa a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(vedi pure la STF C 264/05 del 25 gennaio 2006). 2.6.   In concreto l’amministrazione sostiene che l’insorgente non è in buona fede, in quanto con un’adeguata e ragionevolmente esigibile attenzione egli avrebbe dovuto riscontrare l’errore nel calcolo dell’indennità giornaliera (doc. 492, 498). L’CO 1 ha fondato la propria decisione di rifiuto del condono sul fatto che l’assicurato “ ha omesso di verificare ogni volta, con lo scrupolo necessario, l’importo della somma versata ” (doc. 492). L’assicurato “ pur non avendo nessuna conoscenza del diritto non poteva non accorgersi che la CO 1 era incorsa in un errore grossolano visto che dal momento in cui è stato dichiarato inabile al lavoro percepiva delle indennità molto superiori rispetto al salario che guadagnava lavorando ” (doc. 492 e 497). Dal canto suo, l’insorgente ha ritenuto poco importante la differenza oraria in questione e si è appellato alla propria buona fede, oltre che al proprio stato di salute “ borderline ”, sostenendo che “ ha sempre dichiarato guadagnare CH 25 all’ora ” (doc. I, pag. 3). Il TCA non ha ragioni per scostarsi dalla decisione impugnata. Dai conteggi dell’indennità giornaliera INSAI agli atti emerge che RI 1 percepiva gli importi mensili di fr. 4'905.75 (conteggio di ottobre 2007, luglio 2009, agosto 2009, ottobre 2009) rispettivamente di fr. 4'589.25 (conteggio di giugno 2009) o fr. 4'747.50 (conteggio di settembre 2009). Importi cui veniva dedotta unicamente l’imposta alla fonte (doc. 89, 259, 304). Tuttavia, RI 1 percepiva presso la __________ salari nettamente inferiori rispetto alle indennità giornaliere  ricevute dall’CO 1: nel 2006 gli importi lordi erano rispettivamente fr. 2'560.25 (giugno), fr. 3'420.20 (luglio), fr. 943.25 (agosto), fr. 3'436.15 (settembre), fr. 3'490.05 (ottobre), fr. 2'627.65 (novembre), fr. 6'273.05 (dicembre) (doc. 440). Nel 2007 i salari lordi erano: fr. 2'115.80 (gennaio), fr. 3'031.90 (febbraio), fr. 3'368.75 (marzo), fr. 2'645.20 (aprile), fr. 4'818.65 (maggio), fr. 4'677.50 (giugno), 6'023.50 (luglio), fr. 4'905.75 (agosto), fr. 5'626.50 (settembre) (doc. 440). A prescindere dalla conoscenza o meno della lingua italiana e dell’ordinamento giuridico del nostro Paese, il ricorrente non poteva in buona fede non rendersi conto che vi fosse un errore nel versamento dell’indennità giornaliera. Anche il disturbo psichiatrico di cui soffre l’assicurato non consente una diversa valutazione della fattispecie, in quanto – secondo questa Corte – l’assicurato era in grado di comprendere l’entità dei versamenti effettuati dall’Istituto assicuratore. Il ricorrente ha fatto riferimento al referto del 16 settembre 2011 della __________ dal quale emerge che egli soffre di un “ Disturbo di personalità emotivamente instabile, tipo borderline (ICD-10; F60.31). Altre sindromi ansiose non specificate (ICD-10; F41.8) ” (doc. A4). Tuttavia, come emerge dalla documentazione agli atti l’assicurato ha seguito delle misure reintegrative dal 2010 (accertamento professionale a __________, corsi di tedesco, matematica e informatica e una riqualifica come disegnatore edile) (doc. 207, 337, 340, 345). In queste circostanze, il TCA ritiene che a RI 1 avrebbe dovuto, perlomeno, sorgere il dubbio sulla correttezza dell’importo delle indennità giornaliere versate e di conseguenza egli avrebbe dovuto verificare nuovamente, se del caso tramite il proprio legale, questi versamenti. Non va peraltro ignorato che l’assicurato era rappresentato da un legale sin dal mese di aprile 2007 (cfr. procura doc. 65) e successivamente, dal febbraio 2012, è stato seguito dall'attuale rappresentante (cfr. procura doc. 436). Non essendo adempiuto il presupposto della buona fede, rettamente l’Ufficio AI ha respinto la domanda di condono in oggetto senza verificare se l’ulteriore condizione cumulativa, segnatamente quella relativa all’onere gravoso, fosse o meno realizzata. Ne consegue che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