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35.2014.84 vom 4. Mai 2015</w:t>
      </w:r>
    </w:p>
    <w:p>
      <w:r>
        <w:t>TI Tribunale d'appello, 2015-05-04, IT</w:t>
      </w:r>
    </w:p>
    <w:p>
      <w:r>
        <w:rPr>
          <w:b/>
        </w:rPr>
        <w:t xml:space="preserve">Quelle: </w:t>
      </w:r>
      <w:r>
        <w:t>https://mcp.opencaselaw.ch/entscheid/ti_gerichte_35.2014.84</w:t>
      </w:r>
    </w:p>
    <w:p>
      <w:r>
        <w:t>FR: TI_GERICHTE 35.2014.84 du 4 mai 2015</w:t>
      </w:r>
    </w:p>
    <w:p>
      <w:r>
        <w:t>IT: TI_GERICHTE 35.2014.84 del 4 maggio 2015</w:t>
      </w:r>
    </w:p>
    <w:p>
      <w:pPr>
        <w:pStyle w:val="Heading2"/>
      </w:pPr>
      <w:r>
        <w:t>Regeste</w:t>
      </w:r>
    </w:p>
    <w:p>
      <w:r>
        <w:t>Decisione con la quale assicuratore ha rifiutato diritto ad una rendita è corretta:dagli esami strumentali è risultata una situazione sovrapponibile a quella valutata nel 2007,per cui l'assicurato deve essere considerato nuovamente abile al lavoro nella sua attività</w:t>
      </w:r>
    </w:p>
    <w:p>
      <w:pPr>
        <w:pStyle w:val="Heading2"/>
      </w:pPr>
      <w:r>
        <w:t>Erwägungen</w:t>
      </w:r>
    </w:p>
    <w:p>
      <w:r>
        <w:rPr>
          <w:b/>
        </w:rPr>
        <w:t>E. 25</w:t>
      </w:r>
    </w:p>
    <w:p>
      <w:r>
        <w:t>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Nella presente fattispecie, nella decisione su opposizione del 14 agosto 2014 l’Istituto assicuratore si è esplicitamente rifiutato di entrare nel merito di una eventuale domanda di riconsiderazione ex art. 53 cpv. 2 LPGA. Ora, per costante giurisprudenza, l'amministrazione non può essere obbligata nè dagli interessati, nè dai tribunali a effettuare una riconsiderazione (cfr. STFA I 61/04 del 20 settembre 2004, U 17/05 del 27 ottobre 2006, I 206/06 del 13 marzo 2007). Il TCA deve pertanto esimersi dall’esaminare questo aspetto. Non resta, dunque, che da valutare l'eventualità di una revisione processuale (cfr. art. 53 cpv. 1 LPGA). 2.3.4.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Relativamente alle nuove prove, va sottolineato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Nel caso di specie, l’assicurato non ha fatto valere alcun motivo concreto di revisione, motivo per il quale è a ragione che l’assicuratore LAINF ha considerato l’istanza dell’interessato irricevibile. Alla luce di quanto sopra esposto, il TCA deve concludere che i disturbi a livello del rachide lombare e del ginocchio sinistro non entrino in considerazione nella determinazione del diritto alla rendita dell’assicurato per le conseguenze dell’infortunio dell’11 aprile 2011. La richiesta di perizia giudiziaria pluridisciplinare formulata dal patrocinatore del ricorrente, al fine di valutare l’incidenza delle affezioni al rachide lombare e al ginocchio sinistro sulla capacità lavorativa dell’interessato, non ha quindi ragion d’essere. 2.4. Infortunio dell’11 aprile 2011 alla spalla destra Questa Corte è chiamata a esaminare se l’CO 1 era legittimata a dichiarare RI 1, per i soli postumi infortunistici dell’evento dell’11 aprile 2011, abile al lavoro in misura del 100% nella sua attività a decorrere dal 31 gennaio 2012, oppure no.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Commentaire de la loi sur l'assurance-accidents (LAA), Losanna 1992, p. 91). 2.4.1.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2.4.2.   Nel caso di specie, dalla documentazione agli atti emerge che RI 1 aveva lamentato già in passato dei disturbi cronici alla spalla destra, che erano stati considerati di natura prettamente degenerativa e che non impedivano comunque all’assicurato di poter svolgere la propria attività di lancista al 100%. In occasione della visita di chiusura del 29 agosto 2007, il dr. __________, spec. FMH in chirurgia e a quel momento medico di circondario, aveva indicato che l’esame RM del 22 settembre 2006 – che aveva rivelato segni tendinopatici al sopraspinato con assottigliamento del tendine – aveva confermato il carattere puramente degenerativo dell’affezione alla spalla destra, trattata chirurgicamente in data 19 gennaio 2007 dal dr. __________, Capo-clinica di ortopedia e traumatologia dell’Ospedale __________ di __________, con un’artrotomia con débridement del tendine, acromio-plastica anterolaterale e sutura del sopraspinato distale eseguite. Il dr. __________ aveva concluso che “in merito alla spalla destra il signor RI 1 risulta abile al lavoro nella misura massima possibile dal 3 settembre 2007”, ponendo quali limiti funzionali interessanti l’arto superiore destro i seguenti: “sono da evitare le mansioni da svolgere continuamente con la mano destra sopra la testa, l’uso di mazza, picco o trapani di grandi dimensioni; l’assicurato può alzare dei pesi, impiegando ambedue le braccia, fino a 25 chili fino all’altezza della vita; possono essere alzati dei pesi dell’ordine di 5 chili impiegando ambedue le braccia anche oltre l’altezza del petto” (doc. 23 fasc. 1). Il dr. __________ aveva inoltre ritenuto che l’assicurato non presentasse alcun danno all’integrità netto in quanto la periartrosi omeroscapolare di media entità lamentata è di natura esclusivamente degenerativa (doc. 62 fasc. 1). In seguito, nella visita medica del 7 aprile 2008, il dr. __________ non aveva riscontrato alcun cambiamento, rilevando che per quanto riguarda la funzione oggettiva della spalla destra “in occasione dell’esame medico approfondito odierno non è riscontrabile un importante mutamento, segnatamente nessun peggioramento dello stato locale (anzi un lieve miglioramento per quanto riguarda la spalla destra in termini di articolarità)”. Il dr. __________ aveva concluso che l’assicurato “in base ai referti clinici oggettivi è senz’altro in grado di riprendere tutte le mansioni professionali descritte dettagliatamente dal lato ispettivo (2008) in misura del 100%, per cui l’assicurato viene dichiarato abile in misura normale entro il 14 aprile 2008” (doc. 82 fasc. 1). Dopo l’evento infortunistico dell’11 aprile 2011 interessante la spalla destra, l’assicurato è stato nuovamente visitato dal servizio medico dell’assicuratore LAINF. In esito alla visita medica del 28 settembre 2011, il dr. __________, spec. FMH in chirurgia ortopedica e a quel momento medico di circondario, ha rilevato che “i reperti valutati in data odierna in Agenzia sono esattamente sovrapponibili a quelli valutati in occasione della visita di chiusura del 29 agosto 2007 dal dr. __________, dove l’assicurato era ritenuto abile al lavoro in misura massima possibile ed in particolare ritenuto abile al lavoro nella funzione di macchinista in galleria” (doc. 42 pag. 4 fasc. 2). Il dr. __________ prima di potersi esprimere in maniera definitiva ha comunque ritenuto opportuno “vedere le risonanze precedenti al fine di confrontarle con quella eseguita il 9 maggio 2011” (doc. 42 fasc. 2). Nell’apprezzamento medico del 9 novembre 2011, il dr. __________, dopo avere raffrontato le risonanze magnetiche della spalla eseguite in data 18 aprile 2007, in data 11 marzo 2008 e il 9 maggio 2011, ha concluso che “le immagini valutate delle 3 risonanze sono esattamente identiche”, “per cui si può sostenere anche in base al risultato delle immagini radiologiche che l’assicurato può essere considerato abile al lavoro nella misura massima possibile e non vi è un peggioramento che giustifichi un’ulteriore inabilità lavorativa” (doc. 52 fasc. 2). Il TCA non ha motivo per distanziarsi da questa valutazione del dr. __________, suffragata dagli esiti degli esami strumentali eseguiti nel tempo e che non è stata smentita tramite la presentazione di referti medici oggettivi in grado di metterne in dubbio l’attendibilità. Tale non può, in particolare, essere considerata la presa di posizione del 7 marzo 2012 con la quale il dr. __________, spec. FMH in medicina fisica e riabilitazione presso l’Ospedale di __________, ha contestato la valutazione del dr. __________, rilevando che “occorre però tener presente, al di là del puro risultato dell’esame radiologico, che il trauma subìto dal paziente in data 11 aprile 2011 lavorando in __________ a __________ ha avuto un impatto importante su una situazione anatomica già precaria legata al pregresso intervento di sutura della cuffia dei rotatori e ri acromionplastica del gennaio 2007. Le conseguenze dirette di questo trauma sono state un peggioramento del dolore e delle possibilità funzionali della spalla”, confermando un’inabilità lavorativa del 50% “in quanto le possibilità di utilizzazione pratica della spalla sopra i range articolari sopra riportati e l’insorgenza sistematica del dolore oltre l’orizzontale” non consentono all’assicurato di lavorare a tempo pieno (doc. 88 fasc. 2). Chiamato ad esprimersi in merito alle critiche del dr. __________, il dr. __________, nell’apprezzamento medico del 12 giugno 2012, ha ribadito la correttezza della propria precedente valutazione, evidenziando quanto segue: " (…) In sostanza il dr. __________ dichiara che il trauma alla spalla ha peggiorato i dolori lamentati dall’assicurato e ha peggiorato la situazione della spalla in modo direzionale. Per poter sostenere queste affermazioni ci vogliono però dei dati oggettivabili. Ora per sua stessa natura il dolore non è oggettivabile ma è legato alla soggettività. La capacità lavorativa di un assicurato deve essere valutata in base ai reperti oggettivabili. In occasione della mia visita medico-circondariale avevo constatato un reperto locale esattamente sovrapponibile al 100% con quanto constatato in precedenza in due occasioni da parte del collega __________ (nel 2007 e nel 2008). Per scrupolo mi ero ancora procurato le immagini di risonanza magnetica della spalla destra effettuate in precedenza e le avevo poi confrontate con la risonanza magnetica della spalla destra effettuata nel mese di maggio 2011. Le immagini erano risultate esattamente sovrapponibili. Risulta quindi dall’esame clinico da me effettuato e dal confronto degli esami di risonanza magnetica che l’infortunio avvenuto l’11.04.2011 ha provocato una semplice contusione della spalla destra senza provocare ulteriori lesioni morfologiche oggettivabili delle strutture della spalla. La capacità lavorativa va valutata in base ai referti oggettivabili e non in base alle semplici asserzioni di dolore che anche se prese sul serio vanno comunque sempre messe in relazione ai reperti oggettivabili. Dopo la chiusura del 29.08.2007 l’assicurato era ritenuto abile al lavoro con un rendimento del 100% senza pause supplementari osservando le limitazioni menzionate (il dr. __________ riteneva che l’assicurato doveva evitare le mansioni da svolgere continuamente con la mano destra sopra la testa, doveva evitare l’uso di mazza, picco o trapani di grandi dimensioni e poteva sollevare pesi impiegando ambedue le braccia fino al massimo di 25 chili fino all’altezza della vita). Queste limitazioni sono tuttora valide in quanto non vi è stato né un miglioramento né un peggioramento dello status oggettivabile alla spalla destra. Del resto il dr. __________ nei suoi certificati dove esprime le limitazioni dell’assicurato si esprime esattamente nello stesso modo e elenca le stesse limitazioni, in particolare l’impossibilità di lavorare con le braccia al di sopra della testa. Ora, se dalla visita medica di chiusura del 29.08.2007 l’amministrazione ha ritenuto che l’assicurato potesse essere ritenuto abile al lavoro nella misura del 100% nelle mansioni professionali descritte (attività di lancista dove doveva manovrare la macchina che serviva a spruzzare il beton sulle pareti di gallerie in fase di costruzione), l’assicurato può anche essere ritenuto abile nell’attività di autista e può eseguire tutti i lavori se rispetta le limitazioni già espresse in occasione della visita di chiusura del 2007. Infatti non essendoci cambiamenti strutturali anatomici supplementari a quelli già conosciuti sin dal 2007 l’esigibilità rimane la stessa.” (Doc. 88 fasc. 2, sottolineatura della redattrice) Questo Tribunale concorda con le considerazioni del dr. __________, ben motivate e convincenti, che, del resto, trovano un’ennesima conferma anche negli esami strumentali eseguiti dal dr. __________ nel mese di settembre 2014. Dal referto del 20 ottobre 2014, infatti, emerge che il dr. __________, rispondendo ad una richiesta del legale dell’assicurato, ha rivalutato la situazione clinica e radiologica dell’interessato tramite una RM della spalla destra del 22 settembre 2014, la quale ha messo in evidenza, in particolare, “non evidenti lesioni post-traumatiche alle strutture ossee. Da notare che i reperti non sono modificati in modo significativo rispetto ad un esame precedente di maggio 2011, dove già erano segnalate le alterazioni del tendine del sovraspinoso, l’assottigliamento sub-acromiale e le iniziali note di borsite sub-acromiale” (doc. B2, sottolineatura della redattrice). Va qui nuovamente ricordato che, secondo la giurisprudenza federale, in materia di assicurazione contro gli infortuni, i disturbi risentiti dall'assicurato vengono di principio presi in considerazione soltanto nella misura in cui procedono da un danno alla salute oggettivamente dimostrabile . Nei casi in cui i dolori lamentati non possono trovare una sufficiente correlazione sul piano oggettivo, la decisione non può che essere sfavorevole all'interessato. In effetti, qualora non sia stata individuata, dal profilo medico-scientifico, l'origine dei disturbi, il giudice delle assicurazioni sociali - a maggior ragione - non può riconoscere l'esistenza di una relazione di causalità naturale con l'evento traumatico assicurato (in vedano, in questo senso, la STCA 35.2002.4 del 22 settembre 2003, 35.2003.26 del 28 luglio 2003, 35.2002.49 del 25 novembre 2002, confermata dal TFA con sentenza U 14/03 del 28 luglio 2004, 35.1999.90 del 13 settembre 2001, confermata dal TFA con sentenza U 347/01 del 9 gennaio 2003, 35.1998.57 del 21 settembre 2000, confermata dal TFA con giudizio U 429/00 del 13 marzo 2001, 35.1998.61 del 22 febbraio 1999 e 35.1998.10 del 19 febbraio 1999;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entfällt insofern die Leistungspflicht der Unfallversicherer ohne weiteres ” - il corsivo è della redattrice). Ora, il TF ha precisato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8C_310/2011 del 5 settembre 2011 consid. 4.1, 8C_421/2009 del 2 ottobre 2009 consid. 3 e sentenze ivi citate; cfr. pure DTF 134 V 109 consid. 9 p. 122). Pertanto, ritenuto che nel caso di specie gli esami strumentali hanno dimostrato l’esistenza di una situazione esattamente sovrapponibile a quella valutata dal dr. __________ nel 2007, il TCA non può che ritenere l’assicurato pienamente abile al lavoro nelle sue precedenti attività di lancista e di autista, come espressamente indicato dal dr. __________. Quanto al fatto, sollevato in sede ricorsuale, che nell’ambito della valutazione peritale eseguita per conto dell’assicuratore malattia il dr. __________ abbia attestato una capacità lavorativa del 75% nell’attività di autista, questo Tribunale sottolinea che  tale apprezzamento tiene conto anche di aspetti extra-infortunistici, motivo per il quale non è in grado di mettere in discussione quanto valutato dal dr. __________ (cfr. doc. XIII/1, nel quale, quali diagnosi invalidanti, vengono citate “sindrome algica accentuata sotto carico, diminuzione della resistenza agli sforzi, limitazione funzionale al di sopra dell’orizzontale e in rotazione spalla destra; stato dopo contusione l’11.4.2011; stato dopo inserzione del sovra-spinato e acromio-plastica il 19.1.2007; sindrome vertebrale, rispettivamente spondilogena lombare in presenza di disfunzioni plurisegmentali lombari-inferiori e lombo-sacrali in un contesto di alterazioni degenerative; deficit funzionale terminale nelle posizioni estreme in flessione e rotazione, movimenti “più legati” anca sinistra nel contesto di un potenziale incipiente quadro degenerativo; sindrome algica sotto carico clinicamente focalizzata femoro-patellare ginocchio sinistro, stato dopo pregresso intervento; ipoacusia”). Il TCA non ritiene condivisibili nemmeno le critiche sollevate in sede ricorsuale dal patrocinatore del ricorrente a proposito della presunta inesigibilità per l’assicurato dell’attività di autista, in quanto i disturbi uditivi che lo affliggono (ipoacusia e tinnitus) ne limiterebbero “la capacità di condurre veicoli a titolo professionale al di fuori di un cantiere quale quello dell’__________. Nel traffico di tutti i giorni l’attività professionale quale autista non può essere svolta da una persona che soffre di siffatti importanti problemi all’udito” (doc. I). Ora, è vero che, come indicato nella decisione su opposizione impugnata, l’CO 1 non si è mai espresso in buona e dovuta forma in merito ai disturbi ORL, per cui, in mancanza di una decisione, l’assicuratore LAINF non può entrare nel merito delle problematiche uditive (doc. A2). D’altra parte non va tuttavia ignorato che nella visita medica del 24 febbraio 2010, il dr. __________ aveva indicato che “per quanto attiene al tinnitus, ritengo che questo non comprometta in modo rilevante la capacità lavorativa dell’assicurato, tinnitus che per sua natura non è oggettivabile e che inoltre è comunque insorto ben 2 settimane dopo l’infortunio” (doc. 56 fasc. 3). Inoltre, in data 7 febbraio 2012, l’assicurato è stato sottoposto ad una visita specialistica da parte del dr. __________, spec. FMH in otorinolaringoiatria della divisione medica CO 1 di __________, il quale ha ritenuto fortemente improbabile che l’ipoacusia sia una conseguenza dell’infortunio del 2009, visto che era già presente nel 2005. Infatti, nel referto del 4 settembre 2009 il dr. __________, spec. FMH ORL, aveva riscontrato una ipoacusia pantonale bilaterale, aggiungendo espressamente “in confronto all’audiometria del 24 febbraio 2005 con poco cambiamento (doc. 35 fasc. 3). Il dr. __________ ha pure ritenuto improbabile che il tinnitus dell’assicurato sia la conseguenza di un infortunio, ritenendolo legato alla perdita uditiva che si è verificata in maniera importante tra settembre 2009 e giugno 2011 e quindi non legata ad un evento infortunistico (doc. 88 fasc. 3). Questo Tribunale ritiene pertanto che l’ipoacusia e il tinnito non siano tali da inficiare la capacità lavorativa dell’assicurato nella sua attività di autista. 2.5.   Il ricorrente ha chiesto di essere posto al beneficio  dell’assistenza giudiziaria con il gratuito patrocinio dell’avv. RA 1 (cfr. doc. I, VI).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dalle carte processuali risulta che il ricorrente, sposato, che vive da solo (moglie vive in Italia), disoccupato, dispone, quali entrate, delle indennità di disoccupazione di fr. 4'426.80 mensili e della rendita AI di fr. 92 mensili (cfr. doc. VI/bis). L’assicurato non ha dichiarato alcuna sostanza. Dalla documentazione agli atti prodotta dall’assicurato unitamente al certificato per l’ammissione all’assistenza giudiziaria e, in particolare, dal formulario “calcolo dell’eccedenza mensile di budget” sottoscritto da RI 1 in data 13 settembre 2010 al fine di ottenere un credito da parte di __________, emerge che lo stesso disponeva già a quel momento, con un reddito netto totale di fr. 3'624 - e quindi notevolmente inferiore rispetto a quello indicato ora nel certificato per l’ammissione all’assistenza giudiziaria - di un’importante eccedenza mensile di fr. 1’232.85. Alla luce di questa circostanza, occorre quindi concludere che l’assicurato, nonostante il debito di fr. 815 mensili nei confronti di __________ – il quale, comunque, non può essere preso in considerazione in quanto debito ordinario, visto che, secondo la giurisprudenza, non possono di principio essere ritenute le spese per l’estinzione di debiti ordinari, non destinati al mantenimento corrente dell’istante e della sua famiglia (cfr. STFA B 45/05 del 13 aprile 2006 consid. 7.2.2 e riferimenti ivi menzionati) - continui a disporre di un’eccedenza mensile. Il requisito dell’indigenza non è quindi dato. Non dovendo di conseguenza essere esaminati gli altri requisiti, l’istanza di assistenza giudiziaria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