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35.2014.82 vom 18. März 2015</w:t>
      </w:r>
    </w:p>
    <w:p>
      <w:r>
        <w:t>TI Tribunale d'appello, 2015-03-18, IT</w:t>
      </w:r>
    </w:p>
    <w:p>
      <w:r>
        <w:rPr>
          <w:b/>
        </w:rPr>
        <w:t xml:space="preserve">Quelle: </w:t>
      </w:r>
      <w:r>
        <w:t>https://mcp.opencaselaw.ch/entscheid/ti_gerichte_35.2014.82</w:t>
      </w:r>
    </w:p>
    <w:p>
      <w:r>
        <w:t>FR: TI_GERICHTE 35.2014.82 du 18 mars 2015</w:t>
      </w:r>
    </w:p>
    <w:p>
      <w:r>
        <w:t>IT: TI_GERICHTE 35.2014.82 del 18 marzo 2015</w:t>
      </w:r>
    </w:p>
    <w:p>
      <w:pPr>
        <w:pStyle w:val="Heading2"/>
      </w:pPr>
      <w:r>
        <w:t>Regeste</w:t>
      </w:r>
    </w:p>
    <w:p>
      <w:r>
        <w:t>Caduta con distorsione a caviglia e ginocchio dx. Sintomatologia non oggettivabile. Causalità adeguata (causalità naturale rimasta indecisa) dichiarata estinta a distanza di poco meno di un anno dall'infortunio. Respinta domanda audizione personale</w:t>
      </w:r>
    </w:p>
    <w:p>
      <w:pPr>
        <w:pStyle w:val="Heading2"/>
      </w:pPr>
      <w:r>
        <w:t>Erwägungen</w:t>
      </w:r>
    </w:p>
    <w:p>
      <w:r>
        <w:rPr>
          <w:b/>
        </w:rPr>
        <w:t>E. 18</w:t>
      </w:r>
    </w:p>
    <w:p>
      <w:r>
        <w:t>ottobre 2010 consid. 5.3.4) . In concreto, la cura medica é essenzialmente consistita nell’assunzione di medicamenti, in sedute ambulatoriali di fisioterapia, nonché in visite mediche di controllo (specialistiche e non). Di tutta evidenza, la cura medica applicata all’assicurato non ha dunque avuto un’intensità tale da giustificare l’adempimento del criterio in discussione (per un caso in cui questa Corte ne ha per contro ammesso la realizzazione, si veda la STCA 35.2014.2 del 17 settembre 2014 consid. 2.12, riguardante un assicurato, vittima di un incidente della circolazione, le cui conseguenze avevano necessitato di ben dieci operazioni chirurgiche, l’ultima delle quali eseguita a distanza di sei anni e mezzo circa dall’evento traumatico). Anche il criterio del decorso sfavorevole della cura e le complicazioni rilevanti intervenute non é soddisfatto.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Nel caso di specie, se il decorso della cura medica si é rivelato insoddisfacente é perché, ad un certo punto, si é sovrapposta una sintomatologia giudicata priva di sostrato organico che, come tale, non può essere presa in considerazione nella valutazione dell’adeguatezza del nesso causale secondo la DTF 115 V 133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In queste condizioni, può rimanere indeciso se sono adempiuti il criterio dei dolori somatici persistenti e quello del grado e durata dell'incapacità lavorativa , poiché questi due criteri da soli, in presenza di un infortunio di media gravità al limite di quelli leggeri, non potrebbe comunque giustificare l’adeguatezza del nesso di causalità (cfr. RDAT 2003 II n. 67 p. 276, U 164/02 consid. 4.7; RSAS 2001 p. 431, U 187/95). In conclusione, se ne deduce che l’infortunio assicurato non ha avuto, secondo il corso ordinario delle cose e l’esperienza della vita, un significato decisivo per l'instaurazione della sintomatologia di cui l’insorgente ha sofferto posteriormente al 6 gennaio 2014: l'adeguatezza del nesso di causalità non può, quindi, venire ammessa. 2.13.   In corso di causa, l’insorgente ha sollecitato “un incontro con Vostro Onore, ....” (doc. VIII), rispettivamente “… un incontro faccia a faccia con chi di competenza, perché di persona é più facile capirsi e comunicare …” (doc. XVII, p. 3).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Secondo la giurisprudenza federale, confermata in DTF 122 V 54s.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9C_578/2008 del 29 maggio 2009 consid. 4.8.; DTF 122 V 55 consid. 3a con riferimenti). Una semplice richiesta di prove, così come delle domande tendenti alla comparizione oppure a un interrogatorio personale, a un interrogatorio delle parti, a un’audizione testimoniale oppure a un sopralluogo, non sono sufficienti per fondare un simile obbligo (cfr. SVR 2009 IV Nr. 22 pag. 62; DTF 125 V 38 consid. 2). L’Alta Corte ha, inoltre, stabilito che il rifiuto di differire un'udienza pubblica fondato su motivi obiettivi non è in contrasto con il diritto federale e, in particolare, con l'art. 6 n. 1 CEDU (sul tema, si veda tuttavia la DTF 136 I 279; DTF 127 V 491; STF 8C_504/2010 succitata). Nella concreta evenienza, non essendo stata presentata una domanda esplicita di procedere a un’udienza pubblica ma soltanto una richiesta di audizione personale, il TCA rinuncia all’audizione in quanto superflua ai fini dell’esito della vertenza (cfr. STF I 472/06 del 21 agosto 2007, I 472/06,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