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35.2014.58 vom 8. September 2014</w:t>
      </w:r>
    </w:p>
    <w:p>
      <w:r>
        <w:t>TI Tribunale d'appello, 2014-09-08, IT</w:t>
      </w:r>
    </w:p>
    <w:p>
      <w:r>
        <w:rPr>
          <w:b/>
        </w:rPr>
        <w:t xml:space="preserve">Quelle: </w:t>
      </w:r>
      <w:r>
        <w:t>https://mcp.opencaselaw.ch/entscheid/ti_gerichte_35.2014.58</w:t>
      </w:r>
    </w:p>
    <w:p>
      <w:r>
        <w:t>FR: TI_GERICHTE 35.2014.58 du 8 septembre 2014</w:t>
      </w:r>
    </w:p>
    <w:p>
      <w:r>
        <w:t>IT: TI_GERICHTE 35.2014.58 del 8 settembre 2014</w:t>
      </w:r>
    </w:p>
    <w:p>
      <w:pPr>
        <w:pStyle w:val="Heading2"/>
      </w:pPr>
      <w:r>
        <w:t>Regeste</w:t>
      </w:r>
    </w:p>
    <w:p>
      <w:r>
        <w:t>Denegata/ritardata giustizia non ammessa poiché dall'istruttoria sono emersi nuovi elementi, potenzialmente rilevanti dal profilo dell'esistenza della copertura ass., che devono essere approfonditi dall'amministrazione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 CO 1 si è resa colpevole oppure no di un diniego di giustizia nei confronti di RI 1. 2.3.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nonchè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(cfr. art. 61 cpv. 1 lett. a LPGA), è espressione di un principio generale del diritto delle assicurazioni sociali e vale, perciò, anche nell'ambito della procedura amministrativa (DTF 110 V 54 consid. 4b; cfr., pure, U. Kieser,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Das Rechtsverzögerungsverbot nach Art. 4 BV, Tesi Berna 1985, p. 78 e riferimenti alla giurisprudenza federale).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STFA U 18/92 del 3 luglio 1992 consid. 5b, parzialmente pubblicata in RAMI 1992 U 151, p. 194s. e U 268/01 dell’8 maggio 2003 consid. 4.1). 2.4.   In una sentenza I 841/02 del 25 giugno 2003, pubblicata in DTF 129 V p.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Più di recente,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2.5.   Nella concreta evenienza, va rilevato che, con sentenza 35.2014.10 del 13 marzo 2014 - rilasciata in base alla documentazione allora a sua disposizione -, questa Corte ha accertato un diniego di giustizia in relazione al fatto che l’amministrazione non aveva emanato una decisione formale sulla questione del ripristino dell’indennità giornaliera a contare dal mese di febbraio 2013, ordinandole quindi di rilasciare, senza indugio, la relativa decisione formale. È vero che l’assicuratore convenuto non ha dato seguito a quanto ingiuntogli dal Tribunale. Tuttavia, dalle carte processuali si evince che, nel frattempo, sono emersi dei nuovi elementi. In particolare, da quanto __________, amministratore unico  della __________, ha dichiarato davanti alla Polizia giudiziaria, rispettivamente in occasione della sua audizione del 18 giugno 2014 da parte di un funzionario della CO 1, risulta che RI 1 non avrebbe in realtà mai iniziato a lavorare alle dipendenze della __________. Ora, ritenuto come la giurisprudenza federale relativa all’art. 3 cpv. 1 LAINF abbia posto il principio secondo il quale la copertura assicurativa inizia, al più tardi, al momento in cui la persona comincia effettivamente a lavorare, cosicchè l’inizio dell’assicurazione dipende da un fatto (l’inizio del lavoro) e non da un rapporto giuridico (cfr. DTF 118 V 178 consid. 1a), appare evidente la necessità per l’amministrazione di porre in atto tutte le misure istruttorie destinate a chiarire compiutamente la circostanza dichiarata dall’AU __________. In effetti, qualora dovesse risultare dimostrato che la ricorrente non ha effettivamente mai iniziato l’attività lavorativa presso la ditta __________, non vi sarebbe copertura assicurativa nè per l’infortunio del 24 settembre 2012, nè per gli eventi che le sarebbero occorsi successivamente. In queste condizioni, il TCA non può dunque ammettere che l’assicuratore LAINF resistente si sia reso colpevole di un diniego di giustizia nei confronti di RI 1. 2.6. La ricorrente ha chiesto di essere posta al beneficio dell'assistenza giudiziaria con il gratuito patrocinio dell’avv. RA 1 (cfr. doc. I, p. 9).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Secondo questo Tribunale, nel caso di specie, viste le circostanze emerse dopo l’intimazione della sentenza 35.2014.10 del 13 marzo 2014, segnatamente quella secondo la quale l’insorgente non avrebbe mai iniziato a lavorare per la __________ e considerato che l’esistenza della copertura assicurativa costituisce un presupposto necessario del diritto alle prestazioni, donde l’esigenza per la CO 1 di procedere preliminarmente a degli specifici accertamenti, al patrocinatore di RI 1 non poteva e doveva sfuggire che, in queste condizioni, un ricorso per denegata giustizia sarebbe stato votato all’insuccesso. Il TCA ritiene pertanto che non sia soddisfatto il requisito della probabilità di esito favorevole.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