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35.2014.57 vom 4. Mai 2015</w:t>
      </w:r>
    </w:p>
    <w:p>
      <w:r>
        <w:t>TI Tribunale d'appello, 2015-05-04, IT</w:t>
      </w:r>
    </w:p>
    <w:p>
      <w:r>
        <w:rPr>
          <w:b/>
        </w:rPr>
        <w:t xml:space="preserve">Quelle: </w:t>
      </w:r>
      <w:r>
        <w:t>https://mcp.opencaselaw.ch/entscheid/ti_gerichte_35.2014.57</w:t>
      </w:r>
    </w:p>
    <w:p>
      <w:r>
        <w:t>FR: TI_GERICHTE 35.2014.57 du 4 mai 2015</w:t>
      </w:r>
    </w:p>
    <w:p>
      <w:r>
        <w:t>IT: TI_GERICHTE 35.2014.57 del 4 maggio 2015</w:t>
      </w:r>
    </w:p>
    <w:p>
      <w:pPr>
        <w:pStyle w:val="Heading2"/>
      </w:pPr>
      <w:r>
        <w:t>Regeste</w:t>
      </w:r>
    </w:p>
    <w:p>
      <w:r>
        <w:t>Assicurato si procura trauma alla spalla. L'assicuratore ha sospeso prestazioni al 31.8.2011. Buona fede non è violata. Disturbi in sede cervicale non in nesso di causalità naturale. IG negate da 1.9.2011 confermato. Rendita del 29% invece del 5%. Rinvio per quanto riguarda sovraindennizzo</w:t>
      </w:r>
    </w:p>
    <w:p>
      <w:pPr>
        <w:pStyle w:val="Heading2"/>
      </w:pPr>
      <w:r>
        <w:t>Erwägungen</w:t>
      </w:r>
    </w:p>
    <w:p>
      <w:r>
        <w:rPr>
          <w:b/>
        </w:rPr>
        <w:t>E. 1</w:t>
      </w:r>
    </w:p>
    <w:p>
      <w:r>
        <w:t>non può quindi prevalersi della protezione della buona fede, di modo che, da questo profilo, il rifiuto dell’CO 1 di versare prestazioni risulta fondato. 2.4.   Il TCA è ora tenuto a esaminare se l’Istituto assicuratore resistente era legittimato a negare la propria responsabilità relativamente alle affezioni al rachide cervicale oppure no. 2.4.1. Disturbi al rachide cervicale: causalità con l’infortunio del 6 marzo 2006?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2.4.2.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2.4.3.   Nella concreta evenienza, dalle carte processuali si evince che l’Istituto assicuratore ha negato che i disturbi localizzati in sede cervicale costituiscano una conseguenza naturale del sinistro occorso nel marzo 2006, facendo capo al parere espresso al riguardo dal Dr. __________ (cfr. doc. 122). In effetti, con apprezzamento del 25 marzo 2013, il Dr. __________, spec. FMH in chirurgia ortopedica, chiamato dalle parti ad esprimersi, tra le altre cose, in merito alla causalità naturale dei disturbi risentiti dall’interessato con l’infortunio assicurato, alla domanda, se i disturbi accusati da RI 1 e la diagnosi oggettiva possono essere ricondotti all'evento del 6 marzo 2006 con certezza assoluta, con probabilità preponderante o solo probabilmente (cfr. doc. 122/11 pto. 2), il perito ha così risposto: " (…) Persistenza di un nesso di causalità probabile preponderante per quanto attiene alla spalla sinistra. Nesso di causalità praticamente escluso tra l'evento del 6.3.2006 e le alterazioni degenerative plurisegmentali documentate al rachide cervicale." (doc. 122) Il TCA non ha motivo per distanziarsi da questa valutazione specialistica, la quale, del resto, non è stata smentita in sede ricorsuale tramite la presentazione di certificazioni medico specialistiche di senso contrario. Le conclusioni alle quali è giunto il Dr. __________ nel rapporto medico del 25 marzo 2013, trovano conferma anche nella documentazione medica agli atti. Nel rapporto del 19 aprile 2011 il Dr. __________, spec. FMH in medicina generale e medico fiduciario della CO 1, aveva concluso come segue: " (…) Sulla base del dossier del signor RI 1 ritengo importante chiarire che le problematiche legate alla colonna cervicale non sono in nessun rapporto con il trauma alla spalla sinistra del 2006 e neppure con gli esiti dei tre interventi alla spalla sinistra." (doc. 94) Nella valutazione del 16 gennaio 2012 il Dr. __________, spec. FMH in medicina interna, ha anch’egli concluso che “ tutti i disturbi a carico della spalla sx, in esiti di tre interventi operatori sono in relazione di causalità certa con l’evento del 06.03.06 “(…)” Non sono invece in relazione di causalità con l’evento del 06.03.06 le patologie a carattere degenerativo riscontrate a livello del rachide cervicale, con sintomatologia subentrata in un secondo tempo” (doc. 112/6). In esito alle considerazioni che precedono, è quindi a ragione che l’assicuratore LAINF convenuto ha negato la propria responsabilità in relazione ai disturbi al rachide cervicale lamentati dall'insorgente. Per questa ragione, il TCA dovrà valutare il diritto alle prestazioni prendendo in considerazione esclusivamente i disturbi alla spalla sinistra . 2.5. Diritto all’indennità giornaliera a decorrere dal 1° settembre 2011? 2.5.1.   Giusta l'art. 10 LAINF, l'assicurato ha diritto alla cura appropriata dei postumi d'infortunio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art. 19 cpv. 1 LAINF e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2.5.2.   È già stato detto che ,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Ritter, Commentaire de la loi sur l'assurance-accidents (LAA), Losanna 1992, p. 91). 2.5.3.   Nella presente fattispecie, dalle carte processuali si evince che l’amministrazione ha versato indennità giornaliere corrispondenti a un’incapacità lavorativa dell’80% sino al 31 agosto 2011 ritenendo, in seguito, RI 1 pienamente abile al lavoro (cfr. doc. 95, 134). L’amministrazione si è fondata, in primo luogo, sulla valutazione del 16 gennaio 2012 del Dr. __________ che ha concluso che “ il quadro clinico si è stabilizzato e non può essere migliorato in modo significativo con ulteriori cure mediche ” (doc. 112/6). Anche nella valutazione del 3 settembre 2010 il medico fiduciario Dr. __________ ha indicato che l’assicurato – vista la sua attuale funzione – può essere ritenuto abile al lavoro in misura completa (doc. 90/2). In seguito, l’assicurato è stato sottoposto alla valutazione peritale del Dr. __________, il quale in data 25 marzo 2013 ha concluso che l o stato attuale risulta essere stabilizzato in assenza di misure diagnostiche, rispettivamente terapeutiche ragionevolmente esigibili suscettibili di incidere significativamente e in maniera duratura sulla natura, rispettivamente sull'entità dei postumi riconducibili all'evento infortunistico del 6 marzo 2006 (doc. 122, pag. 13). Per quanto riguarda la capacità lavorativa il Dr. __________ ha concluso che essa varia in funzione delle mansioni svolte, rispettivamente da svolgere all'interno della ditta. Secondo lo specialista vi è inabilità lavorativa praticamente completa nel lavoro di smontaggio delle carcasse per il recupero dei pezzi di ricambio. La capacità lavorativa è invece completa nell’attività di carattere amministrativo/dirigenziale/pianificatorio, così come nell'attività svolta al PC per l'acquisito delle vetture, come per la guida di un veicolo, rispettivamente di un furgone. Egli necessita, per contro, di un aiuto puntuale per il carico, rispettivamente il fissaggio delle carcasse di autovetture (doc. 122, pag. 13). Pertanto, stante quanto sopra esposto, è a ragione che l’assicuratore LAINF convenuto ha negato all’assicurato il diritto alle indennità giornaliere a partire dal 1° settembre 2011 (tre mesi dopo la decisione formale del 27 maggio 2011), visto il ripristino della sua piena capacità lavorativa. 2.6. Diritto alla rendita di invalidità. 2.6.1.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2.6.2.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conoscenze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2.6.3.   Nella presente fattispecie - ricordato che occorre far astrazione dai disturbi che interessano il rachide cervicale (cfr. consid. 2.4.3. in fine) -, secondo il TCA, l’esigibilità lavorativa è stata validamente definita grazie alla valutazione espressa dal chirurgo ortopedico Dr. __________. Nella valutazione del 25 marzo 2013 il Dr. __________ ha posto la seguente diagnosi: (…) - Sindrome algica spalla sinistra in presenza di uno stato dopo trauma distorsivo/contusivo indiretto il 6.3.2006, stabilizzazione anteriore artroscopica in presenza di una rottura del labbro con ipermobilità del capolungo del bicipite il 12.7.2006, artrotomia e stabilizzazione secondo Neer di un distacco del labbro antero-superiore il 13.3.2007, decompressione sotto-acromiale artroscopica con rimozione di una borsa molto aderente alla cuffia e acromioplastica il 2.7.2009. - Sindrome vertebrale, rispettivamente spondilogena cervicale in presenza di alterazioni degenerative pluri-segmentali” (doc. 122/9). Come visto (cfr. consid. 2.5.3.) vi è inabilità lavorativa praticamente completa nel lavoro di smontaggio delle carcasse per il recupero dei pezzi di ricambio. La capacità lavorativa è invece completa nell’attività di carattere amministrativo /dirigenziale/pianificatorio, così come nell'attività svolta al PC per l'acquisito delle vetture, come per la guida di un veicolo, rispettivamente di un furgone. Egli necessita, per contro, di un aiuto puntuale per il carico, rispettivamente il fissaggio delle carcasse di autovetture. 2.7. Attentamente vagliata la documentazione agli atti, questa Corte non ha alcun valido motivo per discostarsi dalla valutazione dell’esigibilità lavorativa enunciata dal chirurgo ortopedico Dr. __________ (e fatta propria dall’amministrazione), ragione per la quale tenuto conto del danno infortunistico di natura ortopedica, il ricorrente va ritenuto totalmente abile in attività leggere adeguate. Questa Corte non può scostarsi dalla valutazione dell’esigibilità lavorativa del medico __________ anche alla luce dei precedenti giurisprudenziali riportati qui di seguito, riguardanti assicurati che accusavano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In un giudizio I 27/06 e U 18/06 del 24 agosto 2006 consid. 5.2.3, il TFA ha considerato in grado di svolgere a tempo pieno semplici mansioni di sorveglianza, rispettivamente, di controllo, così come lavori in un chiosco nonchè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citata a pagina 7 del ricorso, riguardante un’assicurata, la quale, a causa di un infortunio professionale alla mano sinistra adominante, aveva subito l’amputazione del pollice, dell’indice e del medio, come pure una frattura pluriframmentaria della falange basale con istabilità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Nel caso di specie, l’infortunio ha invece interessato l’arto superiore sinistro, ma l’assicurato è destrimane (cfr. rapporto Dr. __________, pag. 7+9). Vedi infine anche la sentenza di questa Corte 35.2013.74 dell’8 settembre 2014 nel caso di un falegname che ha subìto l’amputazione dell’avambraccio destro nell’utilizzare una sega circolare ed è stato ritenuto totalmente abile in attività leggere dal profilo del sollevamento/ trasporto di pesi e della manipolazione di attrezzi, che non richiedono l’utilizzo di entrambi gli arti superiori. Va inoltre osservato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n. U 15 p. 49 consid. 3b; RCC 1991 p. 332 consid. 3b; STF 8C_709/2008 del 3 aprile 2009 consid. 2.3.). In una sentenza 8C_971/2008 del 23 marzo 2009, l’Alta Corte ha ribadito che anche per gli assicurati limitati nell’utilizzo della mano dominante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(il corsivo è del redattore) Posto come il danno alla salute infortunistico riportato dall’assicurato interessa unicamente l’arto sinistro, ovvero quello adominante, a maggior ragione torna applicabile la giurisprudenza appena citata nel caso in esame. Alla luce di quanto precede, occorre concludere che il ricorrente sarebbe in grado di svolgere, a tempo pieno, un’attività lavorativa leggera. 2.8. Si tratta ora di valutare le conseguenze economiche del danno alla salute infortunistico. 2.8.1. Quanto al reddito da valido , secondo l’assicuratore infortuni resistente, senza il danno alla salute , RI 1, nella precedente attività avrebbe realizzato un reddito annuo di fr. 76'557.--. Questo importo è stato desunto dalla notifica d’infortunio inoltrata il 27 marzo 2006 dalla __________ (cfr. doc. 134/2, 2). L’insorgente, da parte sua, ha contestato questo importo ritenendo applicabile il reddito da valido calcolato dall’Ufficio AI di fr. 92'216.-- (doc. I, pag.11).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per l'invalidità l'altro assicuratore (DTF 131 V 362; VSI 2004 pag. 182 consid. 4.3 pag. 186 [I 564/02]; cfr. inoltre pure la sentenza U 148/06 del 28 agosto 2007, consid. 6, pubblicata in DTF 133 V 549). Il TFA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La recente giurisprudenza federale ha ancora stabilito che, l’assicurazione per l’invalidità non è vincolata alla valutazione dell’invalidità dell’assicurazione contro gli infortuni (cfr. STF 9C_529/2010 del 24 gennaio 2011; DTF 133 V 549 consid. 6). In concreto, l’Istituto assicuratore ha calcolato il reddito da valido dell’assicurato sulla base della notifica di infortunio del 27 marzo 2006, in cui la __________ ha indicato un salario base mensile di fr. 6'000.--, e lo ha poi indicizzato al 2011 ottenendo l’importo annuo di fr. 76'557.-- (doc. 134/2). L’Ufficio AI, dal canto suo, nella decisione del 12 settembre 2013 ha calcolato il salario da valido di fr. 92'216.--, dopo aver esperito un’inchiesta economica per l’attività professionale indipendente. L’ispettore __________ dell’AI ha calcolato la media dei redditi conseguiti nel periodo precedente l’insorgenza del danno alla salute (dal 2001 al 2005) giungendo all’’importo di fr. 82'981.-- nel 2003 che aggiornato al 2011 è pari a fr. 92'216.-- (doc. AI 65-1, 84-2). Il TCA ritiene questo importo maggiormente attendibile, in quanto calcolato nell’ambito di un’inchiesta economica precisa e affidabile, svolta in seno alla __________, di cui RI 1 è amministratore unico e azionista di maggioranza (doc. AI 65-3). Questo Tribunale non ha motivo per mettere in discussione le risultanze dell’inchiesta economica del 22 novembre 2011 effettuata sul posto (sul valore probante di tali inchieste, cfr. STF 9C_35/2007 del 4 aprile 2008; DTF 130 V 61; STCA 32.2005.197 del 6 settembre 2006). Alla luce di quanto sopra il TCA ritiene che non ci si possa distanziare dal reddito da valido di fr. 92'216.-- (2011) calcolato in ambito AI nella decisione del 12 settembre 2013. 2.8.2.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2.8.3.   Dalle tavole processuali risulta che l’CO 1 ha quantificato in fr. 72'664.45 il reddito da invalido, applicando la tabella TA 1, attività di commercio e riparazione autoveicoli ( p.to 45), livello di qualifica misto 1+2 e 3 (vista la pluriennale esperienza nella professione e le modalità di gestione dell’azienda), un dispendio orario settimanale di 41.7 ore e aggiornando il dato al 2011 (doc. 134, 141). L’Istituto assicuratore ha così motivato il calcolo del reddito da invalido: " (…) dopo un'attenta valutazione della documentazione medica agli atti e tenuto conto che i disturbi infortunistici sono circoscritti alla spalla sinistra,non vi è alcun motivo per ritenere che l'assicurato non sarebbe in grado di esercitare, a tempo pieno e con un rendimento completo, un'attività lavorativa di carattere amministrativo, dirigenziale, pianificatorio o come autista. Alla luce alle considerazioni che precedono, CO 1 osserva che, dal punto di vista medico, l'opponente non è più totalmente abile nell'attività di smontaggio di carcasse di auto, precedentemente svolta. Nondimeno, sul mercato generale del lavoro esistono delle attività che egli sarebbe in grado di svolgere a tempo pieno e con un rendimento completo, nonostante il danno alla salute infortunistico. Tant'è vero che il Dr. med. __________ ha osservato come "in occasione della visita il signor RI 1 riferisce di un cambiamento nella modalità di lavoro della ditta nel senso della rivendita di vetture accidentate, senza più procedere allo smontaggio per ricavarne i pezzi di ricambio. Esso si occupa dell'acquisto delle vetture al PC, un operaio del loro ritiro con l'ausilio di un carro-attrezzi" (cfr. perizia Dr. med. __________. pag. 12).” (doc. 141). Il ricorrente, da parte sua, ha fatto proprio il calcolo dell’Ufficio AI che è giunto ad un importo di fr. 53'848.45, applicando la tabella TA 1, attività adeguate, livello di qualifica 4 e applicando una riduzione dal reddito statistico del 13% (8% per attività leggere e 5% per svantaggi salariali derivanti da contingenze particolari) (doc. AI 104-3). Alla luce della valutazione del Dr. __________ e visto che RI 1 continua a svolgere la propria attività presso la __________, il TCA ritiene corretto applicare, per il calcolo del reddito da invalido, la tabella TA 1, attività di commercio e riparazione autoveicoli ( p.to 45), livello di qualifica 3 (conoscenze professionali specializzate), in quanto l’assicurato ha lavorato in numerose aziende quale metalcostruttore (dal 1991 al 1994), prima di mettersi in proprio e costituire nel 2002 la __________, di cui è amministratore unico (doc. AI 6-5, 65-1). Non può, per contro, essere seguita CO 1 nell’applicazione di un “ livello di qualifica misto 1+2 e 3 ” (doc. 141). Infatti, oltre a non essere in possesso di uno specifico attestato professionale (doc. AI 65-3), l'assicurato non esercita un lavoro particolarmente esigente e difficile (livello di qualifica 1) né un lavoro molto qualificato (livello di esigenze 2). Utilizzando, dunque, i dati forniti dalla tabella indicata, l’assicurato avrebbe potuto realizzare, in media, un salario mensile lordo pari a fr. 5'210.--. Riportando questo dato su 41.7 ore ( cfr. tabella B 9.2, pubblicata in La Vie économique, 3/3-2015, p. 88 ), esso ammonta a fr. 5'431.42 mensili oppure a fr. 65'177.-- per l'intero anno (fr. 5'431.42 x 12, ritenuto che la quota di tredicesima è già compresa, cfr. STFA del 18 febbraio 1999 nella causa B., U 274/98, p. 5 consid. 3a). Dopo adeguamento all'indice dei salari nominali, si ottiene, per il 2011 (+1,0%) , un reddito mensile di fr. 5'485.73 oppure di fr. 65'828.77 per l'intero anno (fr. 5'485.73 x 12). Il grado di invalidità del ricorrente - stabilito confrontando i fr. 65'828.77 al reddito che egli avrebbe potuto conseguire se non fosse intervenuto l’infortunio, e cioè fr. 92'216.-- (cfr. consid. 2.8.1.) - è del 28,6% arrotondato al 29 % secondo la giurisprudenza di cui alla DTF 130 V 121 consid. 3.2. (= SVR 2004 UV Nr. 11 p. 41). Nella misura in cui l’assicurato è stato posto al beneficio di una rendita di invalidità del 5%, il suo ricorso deve essere accolto. L’Istituto assicuratore è quindi tenuto a versare a RI 1 una rendita di invalidità del 29%, a decorrere dal 1° settembre 2011. 2.9. Calcolo del sovraindennizzo Rimane da esaminare la questione dell’ammontare della compensazione di fr. 120'459.-- a favore della CO 1, quale assicuratore LAINF, oggetto del ricorso del 15 settembre 2014 contro la decisione del 15 luglio 2014 (doc. I, inc. 35.2014.85). Nel caso concreto, contestata è la compensazione tra le rendite AI arretrate e l’importo fr. 120'459.-- chiesto dall’CO 1. Questo importo corrisponde a prestazioni LAINF da restituire per sovraindennizzo, oggetto della decisione formale 17 settembre 2013 (doc. 3, inc. 35.2014.85), confermata con decisione su opposizione del 15 luglio 2014 (doc. 9, inc. 35.2014.85 ). Giusta l’art. 68 LPGA, le indennità giornaliere sono cumulabili con le rendite di altre assicurazioni sociali, salvo sovraindennizzo. La riserva relativa al sovraindennizzo, contemplata all’art. 68 LPGA, si riferisce all’ordinamento ancorato all’art. 69 LPGA (U. Kieser, op. cit., ad art. 68, n. 17).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subìte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L’art. 69 LPGA, come già era del resto il caso per l’art. 40 vLAINF, persegue lo scopo di impedire il sovraindennizzo (cfr. U. Kieser, op. cit., ad art. 69, n. 4; DTF 121 V 132). Si é in presenza di un sovraindennizzo quando le prestazioni corrisposte all’interessato da parte d’assicuratori sociali diversi, lo pongono in una situazione economica migliore rispetto a quella che sarebbe stata la sua se non fosse sopraggiunto l’evento assicurato (A. Rumo-Jungo, op. cit., p. 236s.). In questo ordine di idee, l’art. 51 cpv. 3 OAINF precisa che il guadagno di cui l’assicurato é presumibilmente privato corrisponde a quello da lui conseguibile se non avesse subito il danno (determinante é, peraltro, il reddito lordo, ovverosia il reddito esistente prima della deduzione dei premi e contributi afferenti ad assicurazioni sociali - cfr. A. Maurer, op. cit., p. 538; Ghélew, Ramelet, Ritter, Commentaire de la loi sur l’assurance-accidents (LAA), Losanna 1992, p. 157). Per stabilire il guadagno a cui fa riferimento l’art. 51 cpv. 3 OAINF, è necessario partire da una completa capacità lucrativa e dal corrispondente guadagno. Da ciò, si devono, tuttavia, ancora detrarre gli introiti effettivamente realizzati mettendo a frutto la parziale capacità lavorativa, rispettivamente, lucrativa. Non vanno, invece, dedotti quegli introiti che l’assicurato potrebbe realizzare valorizzando la sua residua capacità lavorativa, così come si deduce dal tenore dell’art. 51 cpv. 3 seconda frase OAINF (“Si prende in considerazione il reddito effettivamente realizzato”). In particolare, così come si evince dall’art. 68 LPGA, il divieto di sovraindennizzo si applica se esiste concorso fra indennità giornaliere e una rendita (per quanto attiene al diritto previgente, cfr. DTF 121 V 132 consid. 2b, 117 V 395 consid. 2b, 115 V 279 consid. 1c e riferimenti; A. Maurer, op. cit., p. 537; Ghélew, Ramelet, Ritter, op. cit., p. 156; cfr., pure, Messaggio 18 agosto 1976 del Consiglio federale per una legge federale sull’assicurazione contro gli infortuni, cifra 403.34 ad art. 40 del disegno di legge). Conformemente alla giurisprudenza federale elaborata in relazione all’art. 40 vLAINF (cfr. DTF 117 V 394) – valida comunque anche dopo l’entrata in vigore della LPGA – per la determinazione del sovraindennizzo, si deve operare un calcolo globale. Al sistema del calcolo globale è attribuita la priorità rispetto al principio della congruenza temporale. Sapere se le indennità giornaliere vanno ridotte (art. 69 cpv. 3 prima frase LPGA), rispettivamente, se quelle versate di troppo possono essere richieste in restituzione (art. 25 LPGA), va stabilito in base ad un conto globale per tutta la durata di percezione delle indennità giornaliere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del 21 marzo 2003 nella causa S., U 367/01, consid. 6 e STFA dell'8 novembre 1991 nella causa G., U 15/91). Sul tema del sovraindenizzo vedi anche le recenti sentenze dell’Alta Corte 8C_43/2012 del 7 settembre 2012 e 9C_43/2012 del 12 luglio 2012. 2.10.   In concreto, l’CO 1 per il calcolo del “ guadagno di cui l’assicurato è stato presumibilmente privato in seguito all’evento assicurato ”, ha utilizzato il salario da valido che figura nella notifica d’infortunio del 27 marzo 2006 della __________ (doc. 2, inc. 35.2014.57) e lo ha indicizzato al 2009 (doc. 2, inc, 35.2014.85). Come visto al consid. 2.8.1. questo importo è stato ritenuto dal TCA meno attendibile rispetto a quello di fr. 92'216.-- calcolato dall’Ufficio AI nell’ambito di un’inchiesta economica. Alla luce di quanto sopra, gli atti vanno rinviati all’CO 1, affinché proceda ad un nuovo calcolo del sovraindennizzo sulla base di quanto deciso da questa Corte statuendo sul ricorso del 23 giugno 2014. 2.11. V isto l'esito favorevole dei ricorsi, l'assicurato, patrocinato da un legale, ha diritto al versamento da parte dell’assicuratore LAINF di fr. 2’000.--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