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35.2014.43 vom 23. Oktober 2014</w:t>
      </w:r>
    </w:p>
    <w:p>
      <w:r>
        <w:t>TI Tribunale d'appello, 2014-10-23, IT</w:t>
      </w:r>
    </w:p>
    <w:p>
      <w:r>
        <w:rPr>
          <w:b/>
        </w:rPr>
        <w:t xml:space="preserve">Quelle: </w:t>
      </w:r>
      <w:r>
        <w:t>https://mcp.opencaselaw.ch/entscheid/ti_gerichte_35.2014.43</w:t>
      </w:r>
    </w:p>
    <w:p>
      <w:r>
        <w:t>FR: TI_GERICHTE 35.2014.43 du 23 octobre 2014</w:t>
      </w:r>
    </w:p>
    <w:p>
      <w:r>
        <w:t>IT: TI_GERICHTE 35.2014.43 del 23 ottobre 2014</w:t>
      </w:r>
    </w:p>
    <w:p>
      <w:pPr>
        <w:pStyle w:val="Heading2"/>
      </w:pPr>
      <w:r>
        <w:t>Regeste</w:t>
      </w:r>
    </w:p>
    <w:p>
      <w:r>
        <w:t>Infortunio sul lavoro con frattura rotula del ginocchio dx. Determinazione del diritto alla rendita in applicazione del metodo ordinario del raffronto dei redditi. Rinvio atti ad amministrazione per stabilire entità reddito da valido</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L’oggetto della lite é circoscritto all’entità della rendita d’invalidità spettante all’assicurato. Con la propria impugnativa, l’insorgente ha chiesto che venga accertata l’eziologia del raccorciamento dell’arto inferiore destro e, quindi, pure quella dei disturbi alla schiena (che ne costituirebbero la conseguenza). Al riguardo, il TCA ritiene di potersi esimere dall’approfondire l’aspetto sollevato dal ricorrente poiché, anche nel caso in cui si giungesse alla conclusione che i disturbi alla schiena si trovano in una relazione di causalità indiretta con l’infortunio del 18 luglio 2005 ciò, così come verrà meglio dimostrato nei considerandi che seguono, non giustificherebbe ancora un aumento del grado d’invalidità stabilito dall’amministrazione. 2.3.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poichè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perchè concetto essenzialmente economico, si misura raffrontando il reddito che l'assicurato avrebbe potuto conseguire se non fosse divenuto invalido con quello ch'egli può tuttora o potrebbe realizzare, benchè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   Nella concreta evenienza, dalle carte processuali emerge che l’CO 1 ha riconosciuto all’assicurato una rendita d’invalidità del 43%, facendo capo, trattandosi dell’esigibilità lavorativa, agli apprezzamenti espressi al riguardo dai sanitari della Clinica di riabilitazione di __________ e dal proprio medico __________ (cfr. doc. 208, p. 5). In effetti, dal rapporto relativo alla degenza 30 luglio - 22 agosto 2013 presso la __________ risulta, per quanto qui d’interesse, che l’assicurato sarebbe in grado di svolgere a tempo pieno attività sostitutive, da leggere a medio-pesanti, osservando le seguenti limitazioni: " (…). Spezielle Einschränkungen: -   Ad Knie rechts (Unfall): Wechselbelastende Tätigkeiten (keine rein gehend oder stehend zu verrichtende Tätigkeiten) ohne Zwangshaltungen für das Knie, ohne häufiges Treppen- oder Leitersteigen und ohne Arbeit an sturzexponierten Stellen. -   Ad LWS (Krankheit): zusätzlich ohne Tätigkeiten mit länger dauernder vorgeneigter und/oder verdrehter Rumpfposition. Ohne länger dauernde Vibrationsbelastungen oder Schläge bezüglich der Wirbelsäule.“ (doc. 165, p. 2) A margine della visita medica __________ del 27 settembre 2013, il dott. __________, spec. FMH in ortopedia e chirurgia ortopedica, ha descritto in questi termini l’esigibilità lavorativa dell’insorgente, tenuto conto unicamente del danno al ginocchio destro: " (…). la esigibilità viene espressa in base ad una valutazione medico-teorica e in base anche ai test effettuati a __________. L’assicurato può sollevare pesi fino a 10 kg molto spesso. Talvolta pesi fino a 25 kg ma mai più oltre i 25 kg. Può molto spesso sollevare pesi oltre l’altezza del petto anche oltre 5 kg. Può effettuare lavori di precisione e leggeri molto spesso così come può effettuare lavori medi molto spesso. Spesso può fare lavori pesanti. Di rado lavori molto pesanti. Molto spesso può effettuare rotazione della mano. Molto spesso può fare lavori sopra la testa e molto spesso può fare lavori con rotazione del busto per le sole conseguenze post-infortunistiche. Spesso può mantenere la posizione seduta/inclinata in avanti. Talvolta anche la posizione in piedi inclinata in avanti. Di rado può mantenere la posizione inginocchiata e con le ginocchia in flessione. Spesso può mantenere la posizione seduta e spesso può mantenere la posizione in piedi. Molto spesso può camminare oltre i 50 m. Spesso per tragitti lunghi. Talvolta anche su terreni sconnessi. Spesso può salire e scendere le scale ma di rado salire e scendere scale a pioli.” (doc. 175, p. 6s.) Da parte sua, l’insorgente sostiene in sostanza che - prendendo in considerazione l’insieme del danno alla salute (considerando cioé anche la problematica lombare) -, la sua capacità lavorativa residua risulterebbe “… sicuramente notevolmente ridotta, per non dire inesistente, …” (cfr. doc. 198). 2.6.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nè l'origine del mezzo di prova nè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sè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fintantochè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2.7. Chiamato ora a pronunciarsi nella concreta evenienza, questo Tribunale ritiene di poter fondare il proprio giudizio sull’apprezzamento dell’esigibilità lavorativa espresso in occasione della degenza 30 luglio - 22 agosto 2013 presso la __________, di modo che - tenuto conto dell’insieme del danno alla salute, a prescindere dalla sua eziologia - , RI 1 deve essere ritenuto in grado di svolgere, a tempo pieno e con un rendimento completo, un’attività lavorativa medio-leggera dal profilo del sollevamento/trasporto di pesi e della manipolazione degli attrezzi, da non svolgere in posizione esclusivamente eretta, evitando posizioni di costrizione per il ginocchio destro e lavori in situazioni esposte a cadute, nonché limitando l’utilizzo di scale e impalcature, le posizioni di lunga durata con il tronco inclinato in avanti e/o in rotazione, come pure l’uso prolungato di strumenti vibranti o comportanti contraccolpi alla schiena. Le certificazioni dei dottori __________ e __________, richiamate dall’insorgente a sostegno delle proprie pretese, non appaioni suscettibili di scalfire il valore probatorio attribuito al rapporto di __________. In effetti, essi si sono limitati a pretendere che i disturbi alla schiena sarebbero imputabili a una deambulazione viziata dal danno al ginocchio destro (cfr. doc. A 3: “… il raccorciamento é relativo non ad una problematica di malattia ma bensì al flesso irriduttibile che provoca un raccorciamento come detto relativo dell’arto inferiore destro e questo alfine di non scompensare la schiena.” e doc. A 5: “Causa la deambulazione difficoltosa (conseguenza della frattura della rotula) il paziente ha manifestato dolori alla colonna dorso-lombare e lombo-sacrale con irradiazione agli arti inferiori. Dolori che aumentavano con il passare del tempo.”), senza però trarre alcuna conclusione in merito alla residua capacità lavorativa dell’assicurato. 2.8. Si tratta ora di valutare le conseguenze economiche del danno alla salute infortunistico.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2.9.   Nella presente fattispecie, l'assicuratore LAINF convenuto ha determinato il reddito ancora esigibile dall'assicurato, mediante il metodo delle DPL. È pertanto risultato che nelle attività sostitutive che l'insorgente sarebbe stato in grado di esercitare tenuto conto del danno alla salute, e meglio il preparatore di cioccolata presso la __________ Giubiasco, l’impiegato alla logistica presso __________ __________, l’addetto alla manutenzione presso la __________ Agno, il venditore/magazziniere presso __________ __________ e, infine, l’operaio-magazziniere presso la __________, i dipendenti di tali ditte percepivano in media, nel 2013, un reddito annuo pari a fr. 57'114 (doc. 183). 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 In effetti, dalla tabella allegata al doc. 183 si evince che sono 89 i posti di lavoro che entrano in considerazione, che i salari minimo e massimo ammontano, rispettivamente, a fr. 33’748 e a fr. 74'217, e infine che quello medio è di fr. 52’585. Il TCA constata che il valore considerato dall’assicuratore LAINF convenuto (fr. 57'114) è superiore del 7.92% rispetto alla media dei salari medi (fr. 52’585). In base alla giurisprudenza, ciò non è però sufficiente per dubitare della rappresentatività del reddito da invalido stabilito in base alle DPL. In effetti, in una sentenza U 594/06 del 26 aprile 2007, l’Alta Corte è pervenuta a questa stessa conclusione trattandosi di una differenza dell’8% circa (cfr., pure, la STCA 35.2005.90 del 22 maggio 2006 consid. 2.9., in cui questo Tribunale ha deciso di fare propria la prassi dell’RA 1 secondo la quale sono di principio tollerati scostamenti sino al 10% ). In conclusione - assodato che i cinque posti di lavoro segnalati dall’amministrazione rispettano le limitazioni funzionali derivanti dal danno alla salute complessivo, descritte nel rapporto di uscita della Clinica di __________ -, il reddito da invalido è stato validamente determinato in base alle DPL. Esso ammonta a fr. 57'114 . Decurtazioni sul reddito da invalido stabilito in applicazione delle DPL non possono entrare in linea di conto, considerato il sistema stesso su cui si fonda questa modalità di fissazione del reddito (cfr. DTF 129 V 472, consid. 4.2.3). 2.10.   Per quanto concerne il reddito da valido , secondo l’CO 1, l'insorgente avrebbe guadagnato nel 2013, senza il danno alla salute, un importo annuo di fr. 100'544.50 (fr. 83'008.90 di salario base + fr. 17'535.60 [fr. 1'461.30/mese x 12 mesi] di supplemento per il lavoro sotterraneo - cfr. doc. 208, p. 6). Il dato ritenuto dall’assicuratore resistente viene contestato dal ricorrente (cfr. doc. I). Dalla documentazione agli atti risulta che, in sede di decisione formale, l’CO 1 ha fissato il reddito da valido in fr. 83'008.90 (fr. 5'723/mese di salario base + fr. 662.30/mese di lavoro in galleria), facendo capo a quanto comunicatogli da una collaboratrice (__________) dell’__________ (cfr. doc. 182 e doc. 183). Nell’ambito della procedura di opposizione, l’amministrazione ha di nuovo interpellato il datore di lavoro. Con comunicazione mail del 15 aprile 2014, sempre __________ ha dichiarato che, nel 2013, l’assicurato avrebbe percepito un supplemento per il lavoro in galleria di fr. 1'461.30/mese (x 12 mesi - cfr. doc. 207) e, su tale base, l’assicuratore ha calcolato il reddito da valido (cfr. doc. 208). Unitamente alla propria impugnativa, RI 1c ha prodotto un conteggio elaborato dall’Implenia (firmato __________), relativo ai supplementi di salario per il periodo 2011-2013, dal quale si evince che, nel 2013, questi ultimi sarebbero stati pari a un importo di fr. 2'778.24/mese (cfr. allegato al doc. A 2). In sede di risposta di causa, il patrocinatore dell’CO 1 non si é confrontato con i dati contenuti nel conteggio appena citato, limitandosi ad affermare che non vi sarebbero “… ragioni per seguire i dati pretesi dal ricorrente.” (doc. III, p. 4). Ora, avendo l’amministrazione omesso di appurare adeguatamente un fatto rilevante dal profilo giuridico prima della presentazione della risposta di causa (in proposito, si veda l’art. 6 cpv. 1 Lptca, giusta il quale l’autorità amministrativa può, fino all’invio della sua risposta, riesaminare il provvedimento impugnato), secondo questo Tribunale, sono dati i presupposti per rinviarle gli atti affinché abbia a compiere gli atti istruttori che reputa necessari per accertare il reddito da valido e decida di nuovo circa l’entità della rendita d’invalidità spettante all’insorgente (tenuto conto degli aspetti sui quali il TCA si é già pronunciato).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