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35.2014.41 vom 29. September 2014</w:t>
      </w:r>
    </w:p>
    <w:p>
      <w:r>
        <w:t>TI Tribunale d'appello, 2014-09-29, IT</w:t>
      </w:r>
    </w:p>
    <w:p>
      <w:r>
        <w:rPr>
          <w:b/>
        </w:rPr>
        <w:t xml:space="preserve">Quelle: </w:t>
      </w:r>
      <w:r>
        <w:t>https://mcp.opencaselaw.ch/entscheid/ti_gerichte_35.2014.41</w:t>
      </w:r>
    </w:p>
    <w:p>
      <w:r>
        <w:t>FR: TI_GERICHTE 35.2014.41 du 29 septembre 2014</w:t>
      </w:r>
    </w:p>
    <w:p>
      <w:r>
        <w:t>IT: TI_GERICHTE 35.2014.41 del 29 settembre 2014</w:t>
      </w:r>
    </w:p>
    <w:p>
      <w:pPr>
        <w:pStyle w:val="Heading2"/>
      </w:pPr>
      <w:r>
        <w:t>Regeste</w:t>
      </w:r>
    </w:p>
    <w:p>
      <w:r>
        <w:t>Infortunio sul lavoro con danno ortopedico alla caviglia dx. Determinazione entità dell'invalidità in applicazione del metodo ordinario del raffronto dei redditi</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L’oggetto della lite è circoscritto all’entità della rendita d’invalidità spettante ad RI 1. Nella misura in cui l’assicurato chiede il rimborso dei costi generati dalle cure termali da lui eseguite, il suo ricorso deve essere dichiarato irricevibile, posto che la decisione su opposizione impugnata ha quale unico oggetto l’entità del grado d’invalidità. In effetti, secondo costante giurisprudenza, la decisione impugnata costituisce il presupposto e il contenuto della contestazione sottoposta all'esame giudiziale (cfr. DTF 122 V 36 consid. 2a, DTF 110 V 51 consid. 3b e giurisprudenza ivi citata; SVR 1997 UV 81, p. 294).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poichè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perchè concetto essenzialmente economico, si misura raffrontando il reddito che l'assicurato avrebbe potuto conseguire se non fosse divenuto invalido con quello ch'egli può tuttora o potrebbe realizzare, benchè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Nella concreta evenienza, dalle carte processuali emerge che l’CO 1 ha riconosciuto all’assicurato una rendita d’invalidità del 21%, facendo capo, trattandosi dell’esigibilità lavorativa, agli apprezzamenti espressi al riguardo dai sanitari della Clinica di riabilitazione di __________ e dal proprio medico __________ (cfr. doc. 404, p. 4). In effetti, dal rapporto relativo alla degenza 12 giugno - 17 luglio 2013 presso la __________ risulta, per quanto qui d’interesse, che l’assicurato sarebbe in grado di svolgere a tempo pieno attività sostitutive, da leggere a medio-pesanti, osservando le seguenti limitazioni: " (…). Wechselbelastende Tätigkeiten, ohne längeres Gehen / Stehen am Stück während &gt; 1 Std. Ohne Tätigkeiten mit Erfordernis, schneller laufen zu müssen, ohne Arbeit im unebenem Gelände, ohne Vibrationsbelastung und Schläge bezüglich des rechten Fusses. Keine häufige Zwangshaltung für den linken Fuss (wie Knien, Arbeiten in Hockstellung, Pedalbedienung, Kriechen etc.). Kein häufiges Treppensteigen oder Leitersteigen mit Gewichten, keine Arbeit an sturzexponierten Stellen.“ (doc. 345, p. 2) A margine della visita medica di chiusura del 26 agosto 2013, la dott.ssa __________, spec. FMH in chirurgia ortopedica, ha descritto in questi termini l’esigibilità lavorativa dell’insorgente: " (…). nessuna limitazione per sollevare e portare pesi fino all’altezza dei fianchi fino a 20 kg, mai più sollevare e portare pesi fino all’altezza dei fianchi oltre i 25 kg. Nessuna limitazione per sollevare oltre l’altezza del petto pesi fino e oltre i 5 kg. Nessuna limitazione per il maneggio d’attrezzi leggeri/di precisione e di attrezzi medi. Mai più possibile il maneggio di attrezzi pesanti/lavoro manuale rozzo e molto pesante. Nessuna limitazione per la rotazione della mano. Nessuna limitazione per lavori sopra la testa, rotazione del tronco, posizione seduta e inclinata in avanti. Talvolta possibile la posizione in piedi e inclinata in avanti a destra, posizione inginocchiata a destra e flessione delle ginocchia a destra. Nessuna limitazione però per la posizione inginocchiata e flessione delle ginocchia a sinistra. Nessuna limitazione per la posizione seduta di lunga durata, spesso possibile la posizione in piedi di lunga durata, molto spesso possibile la posizione a libera scelta. Nessuna limitazione per camminare fino ed oltre i 50 m, camminare per lunghi tratti. Mai più possibile camminare su terreno accidentato. Talvolta possibile salire le scale e salire su scale a pioli. Nessuna limitazione per l’uso delle due mani e l’equilibrio/stare in equilibrio. L’assicurato é considerato abile nella misura dell’esigibilità lavorativa da subito al 100%.” (doc. 354, p. 4) Da parte sua, l’insorgente contesta in sostanza di essere in grado di riprendere l’esercizio a tempo pieno di un’attività lavorativa, fondandosi sulle certificazioni agli atti del suo medico curante, dott.ssa __________, e del dott. __________, spec. in fisioterapia e riabilitazione a __________ (cfr. doc. I). 2.6.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nè l'origine del mezzo di prova nè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sè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fintantochè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Chiamato ora a pronunciarsi nella concreta evenienza, questo Tribunale non vede alcun valido motivo per scostarsi dalla valutazione dell’esigibilità lavorativa espressa dagli specialisti della __________, dove l’assicurato ha soggiornato per oltre un mese, e dal chirurgo ortopedico dott.ssa __________, per cui deve essere ritenuto in grado di svolgere un’attività lavorativa medio-leggera dal profilo del sollevamento/trasporto di pesi e della manipolazione degli attrezzi, alternando a piacimento la posizione seduta a quella eretta, evitando spostamenti su terreno accidentato e limitando l’utilizzo di scale e scale a pioli. Le certificazioni dei dottori __________ e __________, richiamate dall’insorgente a sostegno delle proprie pretese, non appaioni suscettibili di scalfire il valore probatorio attribuito ai rapporti di __________ e del medico di circondario dell’CO 1. Infatti, il primo sanitario si é limitato a descrivere lo status soggettivo e oggettivo a livello dell’estremità inferiore destra, senza trarre alcuna conclusione in merito alla residua capacità lavorativa dell’assicurato (cfr. doc. A 3). Da parte sua, la dott.ssa __________ ha sì dichiarato il ricorrente inabile al lavoro in misura non inferiore al 40%, senza peraltro specificare se l’incapacità é riferita alla sua precedente professione oppure ad attività alternative adeguate, ma ha pure preso in considerazione patologie estranee all’infortunio assicurato e, quindi, non di pertinenza dell’Istituto assicuratore resistente (ipertensione arteriosa essenziale, sindrome ansiosa, insufficienza circolatoria e bronchite cronica) (cfr. doc. A 2).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STF 8C_399/2007 del 23 aprile 2008; VSI 1998 p.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(cfr. STFA inedita del 10 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 nozione quest’ultima certo teorica e astratta ma inerente al sistema e fondata sull’art. 16 LPGA, implicante da una parte un certo equilibrio tra offerta e domanda di manodopera e, dall'altra, un mercato del lavoro strutturato in modo tale da offrire una gamma di posti di lavoro diversificati -, né l’assicurazione per l’invalidità né quella contro gli infortuni sono tenute a rispondere (DTF 110 V 276 consid. 4c; RCC 1991 p. 332 consid. 3b). 2.8. Si tratta ora di valutare le conseguenze economiche del danno alla salute infortunistico. Per quanto concerne il reddito da valido , secondo l’CO 1, l'insorgente avrebbe guadagnato nel 2013, senza il danno alla salute, un importo annuo di fr. 68'201.65 (cfr. doc. 368). Questo dato non é contestato dall’assicurato e può senz’altro essere fatto proprio dal TCA. 2.9.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2.10.   Nella presente fattispecie, l'assicuratore LAINF convenuto ha determinato il reddito ancora esigibile dall'assicurato, mediante il metodo delle DPL. È pertanto risultato che nelle attività sostitutive che l'insorgente sarebbe stato in grado di esercitare tenuto conto dei postumi infortunistici residuali al piede destro, e meglio il raffilatore presso la __________, il montatore di quadri elettrici presso __________ __________, il preparatore di cioccolata presso la __________ __________, il tuttofare presso __________ __________ e, infine, l’addetto alla manutenzione presso la __________, i dipendenti di tali ditte percepivano in media, nel 2013, un reddito annuo pari a fr. 53'742 (doc. 367, p. 1).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dalla tabella di cui al doc. 367 si evince che sono 66 i posti di lavoro che entrano in considerazione, che i salari minimo e massimo ammontano, rispettivamente, a fr. 33’799 e a fr. 65'650, e infine che quello medio è di fr. 49’902. Il TCA constata che il valore considerato dall’assicuratore LAINF convenuto (fr. 53'742) è superiore del 7.14% rispetto alla media dei salari medi (fr. 49’902). In base alla giurisprudenza, ciò non è però sufficiente per dubitare della rappresentatività del reddito da invalido stabilito in base alle DPL. In effetti, in una sentenza U 594/06 del 26 aprile 2007, l’Alta Corte è pervenuta a questa stessa conclusione trattandosi di una differenza dell’8% circa (cfr., pure, la STCA 35.2005.90 del 22 maggio 2006 consid. 2.9., in cui questo Tribunale ha deciso di fare propria la prassi dell’RA 1 secondo la quale sono di principio tollerati scostamenti sino al 10% ). In conclusione - assodato che i cinque posti di lavoro segnalati dall’amministrazione rispettano le limitazioni funzionali descritte nella documentazione medica agli atti, aspetto riguardo al quale l’insorgente non ha d’altronde sollevato alcuna specifica censura (cfr. STF 8C_285/2010 del 6 settembre 2010) -, il reddito da invalido è stato validamente determinato in base alle DPL. Esso ammonta a fr. 53'742 . Decurtazioni sul reddito da invalido stabilito in applicazione delle DPL non possono entrare in linea di conto, considerato il sistema stesso su cui si fonda questa modalità di fissazione del reddito (cfr. DTF 129 V 472, consid. 4.2.3). 2.11. I l grado di invalidità dell'insorgente - determinato confrontando i fr. 53'742 al reddito che egli avrebbe potuto conseguire se non fosse intervenuto l’infortunio, e cioè fr. 68'201.65 - risulta essere del 21.20%, arrotondato al 21% secondo la giurisprudenza di cui alla DTF 130 V 121, consid. 3.2. (= SVR 2004 UV Nr. 11 p. 41). Visto che, con la decisione su opposizione impugnata, l’assicuratore LAINF resistente ha posto l’assicurato al beneficio di una rendita d’invalidità proprio del 21%,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