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35.2013.87 vom 26. Mai 2014</w:t>
      </w:r>
    </w:p>
    <w:p>
      <w:r>
        <w:t>TI Tribunale d'appello, 2014-05-26, IT</w:t>
      </w:r>
    </w:p>
    <w:p>
      <w:r>
        <w:rPr>
          <w:b/>
        </w:rPr>
        <w:t xml:space="preserve">Quelle: </w:t>
      </w:r>
      <w:r>
        <w:t>https://mcp.opencaselaw.ch/entscheid/ti_gerichte_35.2013.87</w:t>
      </w:r>
    </w:p>
    <w:p>
      <w:r>
        <w:t>FR: TI_GERICHTE 35.2013.87 du 26 mai 2014</w:t>
      </w:r>
    </w:p>
    <w:p>
      <w:r>
        <w:t>IT: TI_GERICHTE 35.2013.87 del 26 maggio 2014</w:t>
      </w:r>
    </w:p>
    <w:p>
      <w:pPr>
        <w:pStyle w:val="Heading2"/>
      </w:pPr>
      <w:r>
        <w:t>Regeste</w:t>
      </w:r>
    </w:p>
    <w:p>
      <w:r>
        <w:t>Caduta da cavallo con contusione anca destra e rottura muscolare del gastrocnemio mediale. Nessuna rendita e IMI del 20%. Negata AG sia in ambito amministrativo che dinanzi al TCA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sono l’entità della rendita di invalidità, l’indennità per menomazione dell’integrità spettanti all’assicurato e l’assistenza giudiziaria in ambito amministrativo. 2.3. Entità della rendita di invalidità 2.3.1.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con la decisione impugnata, l’assicuratore LAINF ha negato all’assicurato una rendita di invalidità sulla base della valutazione medica del Dr. __________, della __________ (doc. 87). Nella valutazione medica del 6 luglio 2009 il Dr. __________, spec. FMH in chirurgia, dopo aver riassunto gli atti, le dichiarazioni dell’assicurato e i reperti oggettivabili, ha posto la seguente diagnosi principale: “(…) D1. DIAGNOSI PRINCIPALE ♦ Periartropatia cronica coxa dx • ICD-10: M62.9 ♦ Disturbi cronici dell’emibacino posteriore rispettivamente pelvi       trocanterica dx • ICD-10: M63.8 ♦ Gonalgia cronica dx • ICD-10: M23.3 ♦ Disturbi cronici del polpaccio dx • ICD-10: M61.9 - Stato dopo inf. del 07.09.97 con contusione dell’anca dx da cavallo e relativo calcio dallo stesso sul polpaccio dx con rottura muscolare del gastrocnemio mediale dx - Stato dopo asportazione di ematoma capsulare ilio-tibiale dx il 06.10.99 - Stato dopo artroscopia diagnostica gin. dx il 06.10.99 con diagnosi di gonartrosi post-traumatica in uno stato dopo frattura piatto tibiale lat. con formazione di uno scalino intra-articolare, stato dopo meniscectomia subtotale del menisco mediale e parziale del menisco laterale ♦ Ipersensibilità regione ramo palmare nervo ulnare dx al muscolo   interosseo dorsale I, dopo ferita da taglio al palmo della mano dx        del 09.02.01 (non di pertinenza assicurazione Solida) ♦ Sindrome di tunnel carpale elettroneurograficamente documentato          nel 2001 (non di pertinenza assicurazione Solida) ♦ Disturbi funzionali del gomito sx dopo frattura olecranica sx del     26.11.2005 (non di pertinenza assicurazione Solida) -  Stato dopo osteosintesi del gomito il 26.11.05 con                                   riposizione e applicazione di fili di Kirschner cerchiaggio -  Stato dopo operazione di pseudoartrosi all’olecranon sx                          con osteosintesi e innesto di tessuto osseo spugnoso                                   nel luglio 2006 DIAGNOSI CON RIPERCUSSIONE SULLA CAPACITA LAVORATIVA ♦ Disturbi funzionali al gomito sx ♦ Gonalgia cronica dx ♦ Disturbi cronici emibacino posteriore dx e regione pelvi trocanterica dx ♦ Periartropatia coxo dx ♦ Disturbi cronici del polpaccio dx” (doc. 87) Lo specialista ha quindi indicato una capacità lavorativa dell’80% nell’attività di parrucchiere, a causa degli esiti dell’infortunio del 1997. L’assicurato ha problemi a rimanere in piedi a causa dei problemi all’anca destra, al ginocchio destro e al polpaccio destro, quindi necessità di pause aggiuntive (10/15 minuti ogni ora). Un’attività adeguata può invece essere svolta a tempo pieno alternando la posizione seduta a quella in piedi, senza portare pesi superiori a 5 kg, senza scendere e salire le scale, evitando di camminare regolarmente su terreni sconnessi e compiere lavori in posizione accovacciata o in ginocchio (doc. 87). Il TCA concorda con queste considerazioni, ben motivate e convincenti, espresse dal Dr. __________. A sostegno delle conclusioni del Dr. __________ l’Istituto assicuratore ha fatto riferimento alla perizia del Dr. __________, spec. FMH in chirurgia e esperto in medicina infortunistica, il quale nella valutazione del 29 maggio 2013, svolta per conto dell’ __________ per i postumi di un ulteriore infortunio avvenuto il 26 novembre 2005 (caduto mentre saliva su di un’autovettura), ha preso posizione anche per quanto riguarda gli esiti dell’infortunio del 1997 ponendo la seguente diagnosi: " (…) Esiti da caduta di cavallo nel 1997 con conseguente trauma all’arto inferiore destro, rottura del muscolo gastrocnemio mediale destro e lesione muscolare glueteale destra senza evidenziare lesioni specifiche all’articolazione coxo-femorale destra, lesioni meniscali laterale e mediale del ginocchio destro con segni di gonartrosi, cisti di Baker, versamento intra-articolare. Esiti di meniscectomia artroscopica, esiti di drenaggio dell’ematoma al gluteo/anca destra con persistenza di dolori al grande trocantere in presenza clinica di rottura del gluteo massimo e medio e conseguente deficit della forza muscolare pelvitrocanterica. I postumi riassunti alla visita medico assicurativa del giugno 2009 furono di periatropatia cronica all’anca destra; dolori cronici emibacino posteriore destro e regione pelvi-trocanterica destra; gonalgia cronica destra; disturbi cronici al polpaccio destro ed hanno posto in essere una valutazione di menomazione all’integrità fisica del 20% complessivo ed una stima di diminuita capacità lavorativa nella professione svolta di parrucchiere del 20% azzerata in occupazioni confacenti." (doc. 77) Interpellato in merito ai disturbi post-infortunistici relativi all’evento del 1997, il Dr. __________ ha concluso che il paziente non è in grado di rimanere in posizione eretta a lungo (oltre i 30 minuti caricando soprattutto l’arto inferiore sinistro), non è in grado di sedersi normalmente (carica il gluteo sinistro e non il destro), non è in grado di accovacciarsi sia per i problemi gluteali sia per i disturbi del ginocchio sinistro e non è in grado di deambulare consecutivamente oltre i 400-500 metri. L’assicurato dovrebbe lavorare parzialmente in posizione eretta e parzialmente in posizione seduta, mai accovacciato e senza deambulare a lungo oppure salire e scendere ripetutamente le scale (doc. 77). L’incapacità lavorativa è valutata in misura del 30% nell’attività di parrucchiere, del 65% quale rappresentante di prodotti, del 20% in attività presso call-center, del 40% quale ricezionista d’albergo e del 40% in attività confacenti (doc. 77). Il Dr. __________ nello scritto del 3 ottobre 2013 – su richiesta della CO 1 (doc. 126) – ha precisato ulteriormente la capacità lavorativa di RI 1, a seguito dell’infortunio del 1997. Lo specialista ha indicato una capacità lavorativa oscillante fra il 60% e 70% nell’attività di parrucchiere, dell’80% in attività presso call-center, del 40%-50% in lavori d’ufficio, del 50% in mansioni di controllo e guardamacchine, non superiore al 40% quale cassiere e commesso di negozio, del 60%-70% come addetto alla ricezione e del 20%-30% quale autista (doc. 133). Secondo l’avv. RA 1, la perizia del Dr. __________i è più precisa di quella del Dr. __________ per quanto riguarda le limitazioni funzionali (cfr. doc. I). Il legale ha quindi fatto riferimento anche alla perizia del Dr. __________, svolta in ambito SAM nel 2007 (doc. 69, doc. I). Nel rapporto del 25 gennaio 2007 del Dr. __________, spec. FMH in in chirurgia ortopedica, dopo avere posto la diagnosi illustrata a pagina 7 della perizia (doc. 67) aveva indicato che la capacità lavorativa dell’assicurato nell’attività di parrucchiere è ridotta del 50%, ma dopo dopo la risoluzione degli esiti da pseudoartrosi dell’ulna prossimale sinistra egli aveva previsto un miglioramento della capacità lavorativa fino al 70-75%. In attività alternative, ma sempre nel campo della cura dei capelli, egli stimava un’inabilità al lavoro del 25% (doc. 67). Alla luce di quanto precede, il TCA non ha ragioni per scostarsi dalle conclusioni del Dr. __________ che in parte si sovrappongono a quelle del Dr. __________ per quanto riguarda l’esigibilità lavorativa nell’attività di parrucchiere (80% per il Dr. __________, 60%-70% per il Dr. __________). Per contro, nelle attività adeguate il Dr. __________r ha indicato una piena abilità, mentre il Dr. __________ ha fissato – come visto – delle inabilità lavorative in diverse attività (call-center, lavori d’ufficio, mansioni di controllo, cassiere, commesso di negozio, addetto alla ricezione e autista) (doc. 133). Le indicazioni sui limiti funzionali invece divergono solo in minima parte (doc. 87, 77). La valutazione del Dr. __________, seppur in parte divergente, per quanto riguarda la valutazione della capacità lavorativa, non apporta nuovi elementi oggettivi ignorati dal Dr. __________ e va quindi intesa nel senso di una diversa valutazione delle conseguenze che le patologie dell’interessato hanno sulla sua capacità di lavoro. Da parte sua il Dr. __________, le cui conclusioni sono state prese in considerazione dal Dr. __________ (doc. 87), aveva fatto una stima del 70-75% di capacità lavorativa quale parrucchiere e una riduzione del 25% in attività alternative, tuttavia, esprimendosi solo per mansioni nel campo della cura dei capelli (doc. 67). Le conclusioni del perito Dr. __________ sono corroborate dalla valutazione del 13 maggio 2002 del Dr. __________, spec. FMH in medicina interna, il quale ha indicato che nell’attività di parrucchiere RI 1 ha una limitazione del 10-15% durante tutta la giornata (necessita di soste fino a 10 minuti all’ora). Mentre in altre professioni, sedentarie, non vi sono assolutamente limitazioni (doc. 45). Non permette una diversa valutazione della fattispecie neppure il parere medico-legale del 27 febbraio 2009 del Dr. __________, di cui l’assicurato ha fatto cenno nell’opposizione del 28 settembre 2009 (doc. 100). Il Dr. __________, medico chirurgo, ha preso posizione sulle conseguenze dell’evento del 1997 e di quello del 2000 (ferita da taglio al palmo della mano destra) ritenendo nel complesso l’assicurato inabile al 50% per le sequele del primo infortunio. Il medico curante, tuttavia, non fornisce alcuna indicazione su eventuali attività adeguate o limiti funzionali (doc. 77). Per quanto concerne la problematica psichica il rappresentante dell’assicurato sostiene che è stata ignorata nella valutazione del quadro medico. Egli ha fatto riferimento alla perizia del Dr. __________, svolta in ambito SAM il 22 giugno 2009 (doc. I). Questa Corte rileva tuttavia che il perito psichiatra, sebbene abbia rilevato che l’assicurato non ha mai presentato alcun disturbo psichico fino all’infortunio del 1997 che ha provocato in lui “ la caduta dei meccanismi di difesa compensatori, attivando un vissuto di vulnerabilità psicologica e di insicurezza personale, che ha colpito la sfera emotiva, sociale e lavorativa ”, ha fissato un’abilità del 95% quale parrucchiere e del 100% in attività adeguate, per i soli postumi infortunistici del febbraio 2000 (doc. 86). In esito a tutto quanto precede, il TCA deve dunque concludere che il ricorrente sarebbe in grado di svolgere, a tempo pieno e con un rendimento completo, delle attività lavorative che rispettino le limitazioni descritte dal Dr. __________. Inoltre, secondo questo Tribunale, le limitazioni funzionali derivanti dal danno alla salute infortunistico non rendono irrealistica la possibilità di reperire, sul mercato generale del lavoro, delle opportunità di impiego.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2.4. Si tratta ora di valutare le conseguenze economiche del danno alla salute infortunistico. 2.4.1. Quanto al reddito da valido , secondo l’assicuratore infortuni resistente, senza il danno alla salute RI 1, quale parrucchiere , nel 2008 avrebbe realizzato un reddito annuo di fr. 45'902.30. L’amministrazione ha aggiornato quanto l’insorgente ha guadagnato nel 1996, ultimo anno completo prima dell’insorgere dal danno alla salute (doc. A1). Da parte sua, il ricorrente ha contestato questo importo, in quanto RI 1 da ben 16 anni ha cessato di fare il parrucchiere. A suo dire andrebbero applicati i dati salariali statistici (fr. 53'000.--) (doc. I). L’argomentazione del ricorrente non merita accoglimento. L’assicurato, dopo l’infortunio del 1997, ha lavorato alternativamente al 100% e al 50% fino al 1999, anno in cui si è sottoposto a un nuovo intervento chirurgico a __________. Dopo l’infortunio del 2005 (scivolamento sulla neve) ha iniziato a lavorare al 50% per 2 ore al mattino e 2,25 al pomeriggio come parrucchiere (cfr. su questo punto la dichiarazione del 25 luglio 2005 del salone __________, doc. 65). Dopo la perizia SAM del 2007, in cui viene confermata l’abilità lavorativa al 50%, l’assicurato ha sempre lavorato a tempo parziale (50%) come parrucchiere (cfr. anamnesi perizia SAM del 22 giugno 2009, pag. 5 e doc. 65). Di conseguenza il salario da valido calcolato dall’Istituto assicuratore merita conferma. 2.4.2.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2.4.3.   Dalle tavole processuali risulta che l’amministrazione ha quantificato in fr. 56'784.-- il reddito da invalido, applicando la tabella TA 1, livello di qualifica 4, aggiornato al 2008 (doc. A1).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6-2013, p. 90 ) esso ammonta a fr. 4'998.24 mensili oppure a fr. 59'978.88 per l'intero anno (fr. 4'998.24 x 12). L’assicurato, quale parrucchiere, avrebbe realizzato nel 2008 un reddito annuo di fr. 45'902.30 per un’occupazione a tempo pieno. Tale reddito si situa, per ragioni estranee all’invalidità, sotto la media dei salari svizzeri per un’attività equivalente: Tabella TA 1 2008, p.to 93 “ Servizi personali ”, livello di qualifica 4: fr. 3774.--  riportato su 41.6 ore/settimana = fr. 3'924.96 x 12 mesi = fr. 47'099.52. Nel caso in esame, in considerazione di una differenza del 2,5%, non sono realizzati i presupposti per ridurre il reddito statistico da invalido in applicazione della giurisprudenza di cui alla STF 8C_652/2008 dell'8 maggio 2009.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non ha operato decurtazioni sul reddito statistico da invalido (doc. A1). Per contro, il legale di RI 1 ha postulato l’applicazione di una riduzione del 15-20% (doc. I). La questione della riduzione statistica può rimanere indecisa in quanto, come vedremo, anche applicando una riduzione del 20%, questo non permetterebbe l’erogazione di una rendita d’invalidità. Il reddito da invalido di fr. 59'978.88, tenuto conto di una decurtazione del 20%, ammonta a fr. 47'983.10. Importo che sarebbe comunque superiore al reddito che egli avrebbe potuto conseguire se non fosse intervenuto l’infortunio, e cioè fr. 45'902.30 (cfr. consid. 2.5.1.) . La decisione della CO 1, anche su questo punto, merita conferma. 2.5. Diritto all’indennità per menomazione all’integrità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L’assicuratore LAINF resistente, sentito il parere del Dr. __________ ha valutato in un 20% la menomazione all’integrità di cui é portatore il ricorrente per sole conseguenze dell’infortunio del 1997. Il Dr. __________ ha espresso la seguente valutazione: " (…) Per la periartropatia cronica dell’anca dx, i disturbi cronici emibacino post. dx e regione pelvi-troncanterica dx, la sequela del n. cutaneo lat. del nervo ilioipogastrico e del n. clunio inf. dx: menomazione dell’integrità 10%. Questi danni sono funzionalmente da paragonare complessivamente ad un danno nel quale esiste una modica coxartrosi. Secondo la tab. 5.2., un tale danno da una IMI del 10%. Per la gonalgia cronica dx e i disturbi cronici del polpaccio dx, MI del 10%. In questa valutazione già inclusa la meniscectomia parz. mediale lat. non di pertinenza dell’ass. CO 1. Paragoniamo queste 2 affezioni con uno stato nel quale esiste una modica artrosi femoro-tibiale. Secondo  la tab. 5.2., la MI ammonta a 10%. La menomazione totale dell’integrità per gli esiti dell’inf. del 1997 ammonta al 20% .” (doc. 87). 2.5.6.   Deve innanzitutto essere precisato che l'indennità per menomazione dell'integrità si valuta sulla base di constatazioni mediche. C 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soltanto soggettive patite dall'assicurato, non possono essere prese in considerazione nella valutazione dell'indennità per menomazione all'integrità. Chiamato a pronunciarsi su una questione di carattere medico, il TCA ritiene che l’apprezzamento enunciato dal Dr. __________, possa validamente costituire da supporto probatorio al presente giudizio, senza che si riveli necessario esperire ulteriori accertamenti (sul valore probatorio delle valutazioni del medico dell’CO 1, cfr. STF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Il perito ha espresso la propria valutazione considerando la periartropatia all’anca destra, i disturbi all’emibacino posteriore destro e alla regione pelvi-trocanterica destra, la sequela del nervo curaneo laterale del nervo ilio ipogastrico e del nervo clunio inferiore destro (10%), nonché per la gonalgia destra e i disturbi del polpaccio destro (10%) e facendo riferimento alla tabella 5.2 edita dalla Divisione di medicina assicurativa dell’INSAI (doc. 87). Da parte sua il ricorrente – in sede di osservazioni del 28 settembre 2009 – ha prodotto il parere medico-legale del 27 febbraio 2009 del Dr. __________, il quale ha quantificato al 35% il danno a carico dell’integrità fisica (doc. 77). Nel referto del Dr. __________, peraltro preso in considerazione dal Dr. __________ (cfr. doc. 89), il medico ha indicato un’IMI di entità maggiore, senza tuttavia portare alcun argomento medico-scientifico pertinente a sostegno di questa richiesta. In conclusione, la decisione su opposizione impugnata deve essere confermata anche per quanto riguarda l’entità dell’IMI assegnata all’assicurato. 2.6. Assistenza giudiziaria in ambito amministrativo 2.6.1.   L'art. 37 cpv. 1 LPGA, prevede che la parte può farsi rappresentare, se non deve agire personalmente (cfr. ad esempio a: sottoporsi ad una perizia medica, cfr. STFA del  14 agosto 2006 nella causa D., I 650/05), o farsi patrocinare nella misura in cui l'urgenza di un'inchiesta non lo escluda. Il capoverso 4 recita che, se le circostanze lo esigono, il richiedente può beneficiare di patrocinio gratuito (cfr. DTF 132 V 200). Già prima dell'entrata in vigore della LPGA, la giurisprudenza (cfr.,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2 consid. 4c in fine).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(U. Kieser, op. cit., n. 20 ad art. 37;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U. Kieser, op. cit., n. 21 ad art. 37). 2.6.2.   Nella presente fattispecie contestata è esclusivamente la questione relativa alla necessità dell'assistenza di un avvocato durante la procedura di opposizione. L'assicuratore lo nega invocando sostanzialmente il fatto che l’assicurato ha avuto modo di prendere atto della decisione e di formulare le proprie osservazioni senza l’intervento dell’avvocato. Al momento dell’intervento dell’avv. RA 1, secondo l’amministrazione “ il caso non presentava (più) particolari difficoltà procedurali o di merito ” (doc. A1). Il TCA rileva, tuttavia, che la domanda di gratuito patrocinio in sede amministrativa può essere respinta già solo per il fatto che l’assicurato, come verrà esposto qui di seguito, non può essere considerato indigente.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RI 1, celibe, percepisce la rendita dell’assicurazione invalidità (fr. 722.-- al mese) e la rendita dell’assicurazione __________ (fr. 1'838.20) e non svolge alcuna attività lavorativa (cfr. doc. VI). Il reddito dell’assicurato ammonta dunque a fr. 2'560.20. Per quanto riguarda il calcolo del fabbisogno, all’assicurato deve essere applicato l’importo base mensile per debitore che vive da solo pari a fr. 1'200.--,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1’200.-- il supplemento del 15-25% (25% corrisponde a fr. 300.-- , cfr. su questo punto la STF 9C_89/2014 del 1° maggio 2014 nella quale il TF ha confermato l’importo di fr. 200.-- quale supplemento di procedura applicato dal Tribunale cantonale di Neuchâtel) e computando la pigione mensile di fr. 488.-- (400 euro al cambio di 1.22) e le spese sanitarie (peraltro non documentate) di fr. 366.-- (300 euro al cambio di 1.22), si ottiene un importo totale di fr. 2’354.--, inferiore al reddito dell’assicurato Per quanto riguarda le spese accessorie di euro 120 indicate quali “ spese per vitto ”, le stesse sono già comprese nell’importo base. Non possono essere ritenute neppure le spese per l’auto (RC auto e imposta circolazione).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corrisponde al caso in esame. Per quanto riguarda i debiti di fr. 50'000.--, essi non sono stati documentati in alcun modo. Il TCA rileva comunque che vanno considerati i debiti relativi alle imposte scadute (cfr. RAMI 2000 N. 119 pag. 155 consid. 2; RAMI 1996 N. 254 pag. 208 consid. 2; DTF 124 I 2 consid. 2a; STFA del 18 giugno 2003 nella causa M., consid. 5.2.), ma non quelli relativi a debiti privati, i quali non possono essere conteggiati (cfr. STFA del 17 marzo 2000 nella causa Winterthur c/ D., U 219/99; STF del 6 novembre 1996 nella causa S., 5P.356/1996). Secondo la giurisprudenza non possono di principio essere ritenute le spese per l’estinzione di debiti ordinari, non destinati al mantenimento corrente dell’istante e della sua famiglia (cfr. STFA del 13 aprile 2006 nella causa G., B 45/05, consid. 7.2.2 e riferimenti ivi menzionati). Disponendo dunque di un’eccedenza, il requisito dell’indigenza non è dato. Non dovendo di conseguenza essere esaminati gli altri requisiti, l’istanza di assistenza giudiziaria dev’essere respinta sia in sede amministrativa che dinanzi al 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