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35.2013.66 vom 12. Februar 2014</w:t>
      </w:r>
    </w:p>
    <w:p>
      <w:r>
        <w:t>TI Tribunale d'appello, 2014-02-12, IT</w:t>
      </w:r>
    </w:p>
    <w:p>
      <w:r>
        <w:rPr>
          <w:b/>
        </w:rPr>
        <w:t xml:space="preserve">Quelle: </w:t>
      </w:r>
      <w:r>
        <w:t>https://mcp.opencaselaw.ch/entscheid/ti_gerichte_35.2013.66</w:t>
      </w:r>
    </w:p>
    <w:p>
      <w:r>
        <w:t>FR: TI_GERICHTE 35.2013.66 du 12 février 2014</w:t>
      </w:r>
    </w:p>
    <w:p>
      <w:r>
        <w:t>IT: TI_GERICHTE 35.2013.66 del 12 febbraio 2014</w:t>
      </w:r>
    </w:p>
    <w:p>
      <w:pPr>
        <w:pStyle w:val="Heading2"/>
      </w:pPr>
      <w:r>
        <w:t>Regeste</w:t>
      </w:r>
    </w:p>
    <w:p>
      <w:r>
        <w:t>Caduta con rottura cuffia rotatoria dx. Dichiarato estinto diritto a prestazioni di corta durata (cura medica + i.g.) e negato diritto alla rendita d'invalidità, in quanto assicurata ha ritrovato piena capacità lavorativa nella sua abituale professione</w:t>
      </w:r>
    </w:p>
    <w:p>
      <w:pPr>
        <w:pStyle w:val="Heading2"/>
      </w:pPr>
      <w:r>
        <w:t>Erwägungen</w:t>
      </w:r>
    </w:p>
    <w:p>
      <w:r>
        <w:rPr>
          <w:b/>
        </w:rPr>
        <w:t>E. 26</w:t>
      </w:r>
    </w:p>
    <w:p>
      <w:r>
        <w:t>ottobre 1999). Nel merito 2.2.   Nella concreta evenienza, il TCA deve valutare se l’Istituto assicuratore resistente era o meno legittimato a dichiarare estinto il diritto alle prestazioni di corta durata (cura medica + indennità giornaliera) a decorrere dal 1° ottobre 2011, rispettivamente a negare all’assicurata il diritto a una rendita di invalidità. 2.3. Estinzione del diritto alle prestazioni di corta durata .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2.3.2.   Nel caso di specie, dalle carte processuali risulta che la decisione dell’CO 1 di ritenere lo stato della spalla destra dell’assicurata stabilizzato a far tempo dal 1° ottobre 2011, si basa essenzialmente sul rapporto relativo alla visita fiduciaria di chiusura del 19 luglio 2011. In effetti, in quell’occasione, il dott. __________, spec. FMH in chirurgia ortopedica, ha indicato quanto segue a proposito sull’ulteriore procedere terapeutico: " (…). Ultimamente situazione invariata con persistenti dolori movimento- e carico-dipendenti alla spalla dominante destra e in zona peri-scapolare a destra. Miglioramento della sintomatologia algica e della mobilità della spalla in seguito a infiltrazione terapeutica intrarticolare. Molto probabilmente ulteriori interventi chirurgici non porteranno a un notevole miglioramento sia della sintomatologia algica sia della mobilità. La fisioterapia intensa non ha portato un importante beneficio per quanto riguarda la funzione ed i dolori. Da considerare in futuro 2-3 cicli di fisioterapia all’anno a scopo antalgico e per mantenere la mobilità della gleno-omerale destra. Si consiglia all’assicurata di eseguire regolarmente gli esercizi attivi in acqua. Ulteriori accertamenti medici o cure specifiche non sono più indicate per la problematica della spalla destra. (…). Trattamento funzionale. Fisioterapia specifica per la spalla destra secondo bisogno, al massimo 2-3 cicli all’anno. Si consiglia all’assicurata di continuare con gli esercizi attivi a secco e in piscina in modo regolare. In caso di peggioramento della sintomatologia algica con di nuovo segni di capsulite da considerare infiltrazione terapeutica intra-articolare della gleno-omerale destra. Altrimenti ulteriori trattamenti o cure specifiche non sono necessarie.” (doc. 217, p. 4) Con rapporto del 29 agosto 2011, il medico curante dell’assicurata, dott. __________, spec. FMH in medicina generale, non ha sollevato obiezioni in merito a quanto sostenuto dal medico di circondario (doc. O, p. 2). A margine della valutazione EFL del maggio 2012, i sanitari della __________ di __________ hanno evidenziato che, a quel momento, non erano “… proponibili ulteriori provvedimenti medico-riabilitativi atti al miglioramento della condizione di salute.” (doc. 249, p. 6). Nel prosieguo, all’insorgente sono state praticate ulteriori infiltrazioni intrarticolari, grazie alle quali é stata ottenuta una temporanea diminuzione dei dolori alla spalla destra (cfr. doc. 263, doc. 268 e doc. 279). In occasione del consulto del 16 gennaio 2013, gli specialisti della Clinica __________ di __________ hanno di fatto sconsigliato l’esecuzione di un ulteriore intervento chirurgico alla spalla destra, considerato l’esito di quello effettuato nel mese di maggio 2010 (cfr. doc. 279, p. 2). In corso di causa, la ricorrente ha prodotto una certificazione, datata 17 ottobre 2013, del Servizio di chirurgia dell’arto superiore dell’Ospedale __________, relativa ad accertamenti pluridisciplinari eseguiti nel frattempo a livello della spalla destra. In quella sede, gli specialisti hanno sottolineato, in particolare, che non vi era “… alcuna indicazione per procedere con altri interventi chirurgici che possano cambiare in modo significativo la situazione clinica della paziente. Sarebbe invece utile per un miglioramento funzionale e quindi atto a migliorare la capacità lavorativa, proseguire con esercizi assistiti di stretching, di mobilizzazione articolare ed esercizi di stabilizzazione della scapola, esercizi propriocettivi mirati al controllo neuromuscolare e alla stabilità dinamica dell’articolazione gleno-omerale e scapolo-toracica. Questi esercizi vanno eseguiti a breve-medio termine sino ad un recupero soddisfacente della funzionalità articolare.” (doc. T, p. 2). 2.3.3.   Visto che, così come verrà meglio dimostrato nei considerandi che seguono, RI 1 ha ritrovato una piena capacità lavorativa nella sua precedente professione a decorrere dal 1° ottobre 2011, questa Corte deve concludere che, da quella medesima data, non vi era più spazio per un “sensibile miglioramento” ai sensi della giurisprudenza citata al considerando 2.3.1.. Per questa ragione, l’CO 1 era dunque legittimato a dichiarare stabilizzate le condizioni di salute dell’assicurata e, in ossequio all’art. 19 cpv. 1 LAINF, a porre termine alle prestazioni di corta durata (in particolare, a quelle di cura medica). 2.4.   Diritto alla rendita di invalidità. 2.4.1.   Secondo l'art. 18 cpv. 1 LAINF, l'assicurato invalido (art. 8 LPGA) almeno al 10 per cento a seguito d'infortunio ha diritto alla rendita di invalidità. Secondo l'art. 8 cpv. 1 LPGA, è considerata invalidità l'incapacità al guadagno totale o parziale presumibilmente permanente o di lunga durata.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RAMI 2004 U 529, citata in precedenza, ha rilevato che anche l'art. 16 LPGA non ha modificato le modalità per la fissazione del grado di invalidità dell'assicurato previsto dal previgente art. 18 cpv. 2 seconda frase LAINF. Nella stessa pronunzia, la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é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2.4.3.   Nella concreta evenienza, l’amministrazione ha negato il diritto alla rendita d’invalidità, siccome l’insorgente avrebbe ritrovato una piena capacità lavorativa nella sua abituale attività alle dipendenze della ditta __________, e ciò nonostante il danno residuale alla spalla destra (cfr. doc. 304, p. 6s.). Tale decisione é fondata sulle risultanze della valutazione delle capacità funzionali (EFL), seguita il 23 e 24 maggio 2012 presso la __________ di __________. Dal relativo referto, datato 20 giugno 2012, si evince che la ricorrente si lamentava di una “… sintomatologia dolorosa alla spalla destra persistente, dolore presente anche di notte di tipo posizionale. Sintomatologia dolorosa migrante in regione sovraclaveare, spalla e regione periscapolare destra. Dolore che si accentua nel tentativo di elevazione dell’arto superiore destro sopra l’orizzontale. La paziente riferisce di poter svolgere la sua attività lavorativa di impiegata d’ufficio e concludente con presenza per gran parte della giornata ma con rendimento ridotto. Nega (solo durante la visita medica) difficoltà nella guida dell’automobile.” (doc. 249, p. 3). I sanitari hanno quindi evidenziato l’esistenza di una discrepanza tra la sintomatologia soggettivamente denunciata e lo status oggettivabile a livello dell’arto superiore destro, come pure di una scarsa compliance da parte dell’assicurata nello svolgimento dei test, motivo per cui essi hanno fondato la loro valutazione dell’esigibilità lavorativa su “riflessioni medico-teoriche”. In questi senso, essi hanno preso in considerazione: " (…). -   aspetti medico-teorici; -   il fatto che l’assicurata lavora da tempo al 50% con mansioni abituali che fa da oltre 20 anni; -   la possibilità per la paziente di organizzare il proprio lavoro e di farsi coadiuvare da collaboratori; -   della realtà che parte dei lavori sono di supervisione o di contatto con i clienti; -   del fatto che il lavoro della paziente é classificabile tra quelli leggeri.”. (doc. 249, p. 6) Fatte queste premesse, i sanitari di __________ hanno espresso le seguenti considerazioni a proposito della capacità lavorativa dell’insorgente: " (…). La cliente può nel complesso affrontare il lavoro svolto fino ad oggi. La mobilità della spalla destra é sufficiente per le mansioni della sua attività professionale. Difficoltà possono sussistere nei movimenti che richiedono movimenti ampi del braccio destro, soprattutto se verso l’alto. Causa le auto-limitazioni registrare non abbiamo limiti indicativi, ma i risultati riportati all’allegato 2 del test EFL indicano che la cliente può sollevare da terra alla vita e trasportare orizzontalmente almeno 5 kg e sollevare all’altezza delle spalle almeno 2.5 kg. Possibili, anche se le autolimitazioni osservate durante i test non permettono di oggettivarli, un affaticamento muscolare e un accumulo di dolore dell’arto superiore destro a livello della spalla nei movimenti ripetuti e nei lavori prolungati, ma questi possono essere gestiti dalla cliente grazie alla flessibilità delle sue mansioni. Per questo, in conclusione, ritengo che l’attuale attività della paziente sia esigibile al 100% alternando momenti di lavoro pratico a momenti di supervisione o altri lavori che non incidono sull’arto superiore destro, quali ad esempio le telefonate o contatti diretti con i clienti. Eventuali attività che superano le capacità della cliente, possono essere delegate ai collaboratori dell’ufficio in cui la cliente lavora, cosa che già succede. ” (doc. 249, p. 3s. - il corsivo é del redattore) In sede di ricorso, RI 1 ha preannunciato che si sarebbe sottoposta a nuovi accertamenti diagnostici alla spalla destra, ordinati dal dott. __________, medico aggiunto presso il Servizio di chirurgia dell’arto superiore dell’Ospedale __________ (cfr. doc. I, p. 8). In data 23 gennaio 2014, questo Tribunale le ha chiesto di produrre il relativo rapporto (cfr. doc. V). Dal referto datato 17 ottobre 2013 si apprende che gli accertamenti radiologici e fisiologici compiuti nel frattempo, “… sono risultati negativi sia per una lesione neurogena sia per una lesione della cuffia dei rotatori.”. Inoltre, clinicamente, i sanitari hanno refertato “… una mobilità passiva completa con una motilità attiva di: flessione anteriore 110°, abduzione 60°, rotazione esterna 10° e rotazione interna alla natica. Non sono evidenti stenie nelle manovre contrastate manuali per la valutazione della forza.”. I dottori __________ e __________ si sono quindi espressi nei seguenti termini: " (…). A noi risulta molto complicato dare giudizi sull’attendibilità di quanto descritto nei rapporti medici precedenti, su eventuali contraddizioni e sulla loro attendibilità. Quello che noi possiamo affermare secondo scienza e coscienza é quanto segue: la paziente giunge alla nostra osservazione con una lunga storia clinica alle spalle sulla quale non torno in quanto a lei nota. Per una valutazione coscienziosa ed approfondita dello stato attuale della spalla abbiamo richiesto esami specialistici che non hanno evidenziato patologie in atto al momento né neurologiche né a carico delle strutture della cuffia dei rotatori. (…). La paziente può svolgere la propria attività lavorativa in qualità di segretaria con consulenza tecnica esterna evitando viaggi in auto molto lunghi. L’attività lavorativa dovrebbe lasciare in ogni caso spazio per poter proseguire con le sedute di fisio-chinesiterapia. ” (doc. T - il corsivo é del redattore) 2.4.4.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2.4.5.   Chiamato ora a pronunciarsi nell’evenienza concreta, il TCA giudica fondata la decisione dell’CO 1 di ritenere l’assicurata in grado di svolgere, a tempo pieno e con un rendimento completo, la sua abituale professione di segretaria e consulente alla vendita. Ciò risulta giustificato alla luce della valutazione EFL del maggio 2012, i cui esiti sono stati sostanzialmente avallati dagli specialisti dell’Ospedale __________ (cfr. il consid. 2.4.3.). A quest’ultimo riguardo, questa Corte osserva che i sanitari privatamente consultati dall’insorgente hanno confermato l’assenza di reperti oggettivabili correlabili con la sintomatologia da lei denunciata (cfr. doc. T: “… abbiamo richiesto esami specialistici che non hanno evidenziato patologie in atto al momento, né neurologiche né a carico delle strutture della cuffia dei rotatori.” - il corsivo é del redattore), così come era già stato il caso a __________. Ora,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(cfr., in questo senso, la STCA 35.2005.94 del 24 aprile 2006, 35.2002.4 del 22 settembre 2003, 35.2003.26 del 28 luglio 2003, 35.1999.90 del 13 settembre 2001, confermata dal TFA con sentenza U 347/01 del 9 gennaio 2003, 35.1998.57 del 21 settembre 2000, confermata dal TFA con giudizio U 429/00 del 13 marzo 2001, 35.1998.61 del 22 febbraio 1999 e 35.1998.10 del 19 febbraio 1999). D’altro canto, questo Tribunale non ignora che i dottori __________ e __________ hanno sostenuto che, a causa dei disturbi all’arto superiore destro, ella dovrebbe evitare i “viaggi in auto molto lunghi” (doc. T). Tale aspetto potrebbe potenzialmente avere un’incidenza sulla valutazione della capacità lavorativa, visto che, secondo quanto si evince dal rapporto ispettivo del 23 luglio 2008, l’assicurata era pure chiamata a recarsi presso le “… case dei clienti per vedere che soluzioni si possono prendere nelle determinate situazioni. Per eseguire questo lavoro mi devo spostare spesso con la vettura della ditta.” (doc. 15, p. 1 e allegato al doc. 241). In proposito, è utile rilevare che il TCA ha avuto modo, nel passato, di valutare il diritto a una rendita di invalidità per degli assicurati titolari di un’azienda o che in tale azienda rivestivano cariche dirigenziali. Ad esempio, in una sentenza 32.1998.77 + 36.1998.203 del 24 luglio 2000 , cresciuta in giudicato, concernente un dipendente di un’impresa di pulizie a conduzione familiare, impedito nel trasporto regolare di pesi superiori ai 10-15 kg, il TCA, in virtù dell’obbligo di ridurre il danno, ha ritenuto ragionevolmente esigibile che in seno all’azienda si procedesse a una riorganizzazione del lavoro al fine di offrire all’assicurato delle mansioni idonee alle sue condizioni di salute. Questa Corte ha sviluppato delle considerazioni analoghe in una sentenza 35.1999.57 del 5 ottobre 2000, concernente un assicurato, direttore tecnico-amministrativo, impossibilitato a sollevare, rispettivamente trasportare, pesi superiori ai 15/20 kg, a compiere movimenti ripetuti sotto sforzo di reclinazione/inclinazione e torsione del tronco e, infine, a mantenere per lungo tempo delle posizioni statiche, come pure in una pronunzia 35.2006.42 del 20 marzo 2007, riguardante un assicurato, vicepresidente del Consiglio di amministrazione, nonché di membro di Direzione di un’impresa di carpenteria, impedito, secondo i sanitari, a espletare quelle mansioni – concretamente, il prendere le misure prima di allestire l’offerta -, che implicavano il dover salire sui tetti a falde delle abitazioni. Nel caso di specie, considerato, da una parte, che la consulenza a domicilio costituiva soltanto una parte dell’attività di “consulente alla vendita” svolta da RI 1, la quale rappresentava il 30% del totale (cfr. doc. 15) e, d’altra parte, che non tutte le trasferte implicano dei “viaggi in auto molto lunghi”, in modo tale che l’organizzazione interna del lavoro della __________ non sarebbe da rivoluzionare ma piuttosto da ritoccare in una misura tutto sommato marginale, operazione che appare senz’altro compatibile con il ruolo dirigenziale di rilievo di cui l’assicurata è investita (membro del consiglio d’amministrazione di una ditta a conduzione familiare), il TCA giudica ragionevolmente esigibile che le mansioni di quest’ultima vengano rivedute in modo tale da compensare le eventuali ripercussioni del danno alla salute infortunistico. I medici dell’Ospedale __________ hanno pure fatto valere che “l’attività lavorativa dovrebbe lasciare in ogni caso spazio per poter proseguire con le sedute di fisio-chinesiterapia.” (doc. T, p. 2). Al riguardo, questo Tribunale si limita a rilevare che, in una sentenza 9C_937/2008 del 23 marzo 2009 consid. 4.2, il TF ha stabilito che l’impegno in termini di tempo legato all’esecuzione di provvedimenti terapeutici (in quel caso, si trattava di una terapia con training medico - MTT), non ha alcun rilevante significato nell’ambito della valutazione dell’invalidità. Dalle tavole processuali risulta che, posteriormente al 30 settembre 2011 e ancora in tempi recenti, i sanitari della Clinica __________ di __________ hanno attestato l’esistenza di un’incapacità lavorativa (cfr. doc. 263, p. 2, doc. 268, p. 2, doc. 279, p. 2 e doc. 301, p. 2). Tali certificazioni non appaiono atte a determinare un esito diverso della vertenza. In effetti, i medici in questione hanno preso in considerazione anche (e soprattutto) lo stato della spalla sinistra (non di pertinenza dell’CO 1 - cfr. consid. 1.2.) e, in ogni caso, le loro attestazioni contengono una valutazione del tutto astratta della capacità lavorativa. In esito a tutto quanto precede, applicando il criterio della probabilità preponderante utilizzato abitualmente per l'apprezzamento delle prove nel settore delle assicurazioni sociali (cfr. STFA U 200/04 del 19 settembre 2005; STFA C 192/04 del 14 settembre 2005; DTF 129 V 181 consid. 3.1, DTF 129 V 406 consid. 4.3.1, DTF 126 V 360 consid. 5b, DTF 125 V 195 consid. 2; RDAT I - 1996 p. 225), si deve concludere che, a far tempo dal 1° ottobre 2011, RI 1 aveva ritrovato una piena capacità lavorativa nella sua abituale professione. Vista l’assenza di una qualsiasi perdita di guadagno, l’assicuratore resistente era quindi legittimato a negarle il diritto a una rendita di 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