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35.2013.56 vom 20. Januar 2014</w:t>
      </w:r>
    </w:p>
    <w:p>
      <w:r>
        <w:t>TI Tribunale d'appello, 2014-01-20, IT</w:t>
      </w:r>
    </w:p>
    <w:p>
      <w:r>
        <w:rPr>
          <w:b/>
        </w:rPr>
        <w:t xml:space="preserve">Quelle: </w:t>
      </w:r>
      <w:r>
        <w:t>https://mcp.opencaselaw.ch/entscheid/ti_gerichte_35.2013.56</w:t>
      </w:r>
    </w:p>
    <w:p>
      <w:r>
        <w:t>FR: TI_GERICHTE 35.2013.56 du 20 janvier 2014</w:t>
      </w:r>
    </w:p>
    <w:p>
      <w:r>
        <w:t>IT: TI_GERICHTE 35.2013.56 del 20 gennaio 2014</w:t>
      </w:r>
    </w:p>
    <w:p>
      <w:pPr>
        <w:pStyle w:val="Heading2"/>
      </w:pPr>
      <w:r>
        <w:t>Regeste</w:t>
      </w:r>
    </w:p>
    <w:p>
      <w:r>
        <w:t>Assicurato aggredito e morso al braccio sx da cane di grossa taglia. Sviluppo di disturbi psichici. Negata adeguatezza del nesso causale con infortunio (causalità naturale lasciata aperta). Negata AG vista entità della sostanza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giugno 2011 é stata descritta dall’assicurato stesso nel questionario da lui compilato in data 5 luglio 2011: " (…). __________ (__________) zona chiamata __________. Ore 14.00 circa del 16 giugno 2011. Mi sono recato nella mia proprietà in zona __________ dove posseggo un ripostiglio annesso a terreno. Dalla parte opposta alla mia proprietà vi é un rustico di vacanza con 2000 mq circa di terreno non recintato. Ho parlato per 5 minuti con il proprietario di questo rustico e lui mi ha invitato a prendere un caffè al tavolo antistante l’abitazione. Come ho messo il primo piede nel suo terreno il cane, era circa a 10 metri di distanza da me, si é liberato facilmente dalla sua padrona che lo teneva per il collare e ha puntato diritto verso di me. In un primo momento ho pensato avesse intenzioni bonarie e solo quando era a due o tre metri da me ho capito che non era così e non ho avuto la possibilità di evitare l’aggressione. Sono stato morso al braccio sinistro in modo serio.” (doc. 10) A causa di questo infortunio, l’insorgente ha riportato, secondo il rapporto di uscita</w:t>
      </w:r>
    </w:p>
    <w:p>
      <w:r>
        <w:rPr>
          <w:b/>
        </w:rPr>
        <w:t>E. 18</w:t>
      </w:r>
    </w:p>
    <w:p>
      <w:r>
        <w:t>agosto 2002 consid. 2.2 e riferimenti ivi menzionati, giurisprudenza ancora richiamata di recente, ad esempio, nella STF 8C_1008/2012 del 24 maggio 2013 consid. 3.3.5). Nella concreta evenienza, la sostanza mobiliare di cui dispone il ricorrente eccede largamente l’importo ammissibile a titolo di "riserva di emergenza", ragione per la quale appare esigibile che egli la intacchi per fare fronte alle spese legali legate alla presente procedura ricorsuale. In esito a quanto precede, RI 1 non può essere dichiarato indigente e, di conseguenza, nemmeno essere posto al beneficio dell’assistenza giudiziaria con il gratuito patrocinio dell’avv. RA 1.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