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35.2013.34 vom 28. März 2014</w:t>
      </w:r>
    </w:p>
    <w:p>
      <w:r>
        <w:t>TI Tribunale d'appello, 2014-03-28, IT</w:t>
      </w:r>
    </w:p>
    <w:p>
      <w:r>
        <w:rPr>
          <w:b/>
        </w:rPr>
        <w:t xml:space="preserve">Quelle: </w:t>
      </w:r>
      <w:r>
        <w:t>https://mcp.opencaselaw.ch/entscheid/ti_gerichte_35.2013.34</w:t>
      </w:r>
    </w:p>
    <w:p>
      <w:r>
        <w:t>FR: TI_GERICHTE 35.2013.34 du 28 mars 2014</w:t>
      </w:r>
    </w:p>
    <w:p>
      <w:r>
        <w:t>IT: TI_GERICHTE 35.2013.34 del 28 marzo 2014</w:t>
      </w:r>
    </w:p>
    <w:p>
      <w:pPr>
        <w:pStyle w:val="Heading2"/>
      </w:pPr>
      <w:r>
        <w:t>Regeste</w:t>
      </w:r>
    </w:p>
    <w:p>
      <w:r>
        <w:t>Dentista - dipendente, divenuto indipendente dopo l'infortunio - cade e riporta rottura cuffia rotatoria dx. Valutazione del diritto rendita invalidità. Rinvio atti ad assicuratore per accertare reddito da valido</w:t>
      </w:r>
    </w:p>
    <w:p>
      <w:pPr>
        <w:pStyle w:val="Heading2"/>
      </w:pPr>
      <w:r>
        <w:t>Erwägungen</w:t>
      </w:r>
    </w:p>
    <w:p>
      <w:r>
        <w:rPr>
          <w:b/>
        </w:rPr>
        <w:t>E. 22</w:t>
      </w:r>
    </w:p>
    <w:p>
      <w:r>
        <w:t>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2.5.   Nel caso di specie, questa Corte constata innanzitutto che non é oggetto di contestazione la valutazione dell’ esigibilità lavorativa a dipendenza del danno infortunistico alla spalla destra. Entrambe le parti si attengono infatti alle risultanze della visita fiduciaria di controllo del 20 settembre 2010, in occasione della quale il dott. __________, spec. FMH in chirurgia, aveva ritenuto l’assicurato “… impedito a mantenere la posizione di elevazione-abduzione del cingolo omero-scapolare per più di qualche minuto e ciò, nell’ambito professionale, si traduce nell’impossibilità di eseguire lavori di lunga durata (oltre dieci minuti) soprattutto nell’arcata mascellare inferiore destra e parzialmente a livello dei molari. All’epoca del fatto il paziente lavorava alle dipendenze di uno studio medico dentistico mentre ora é titolare di studio privato con assistenti alle proprie dipendenze.” (doc. M 23, p. 5). D’altro canto, sono invece controversi gli aspetti economici relativi alla determinazione del grado dell’invalidità e, specificatamente, l’entità del reddito da valido . L’assicuratore infortuni resistente - posto che dall’estratto conto individuale dell’assicurato, rispettivamente dalla sua dichiarazione fiscale per l’anno 2009, é emerso che egli aveva conseguito un reddito annuo pari o persino superiore successivamente all’infortunio del giugno 2007 -, sostiene che non sarebbe dimostrato “… un danno economico effettivo. Come indipendente, l’assicurato é più flessibile nella gestione della sua attività lavorativa, per cui ha potuto limitare al meglio le eventuali ripercussioni economiche negative dovute alle limitazioni riscontrate (cfr. referto 22.09.2010 del dr. med. __________, pag. 5). Infatti, nell’ottica di ridurre il danno, nel suo studio privato egli ha potuto beneficiare dell’aiuto di assistenti alle proprie dipendenze, che hanno permesso di sopperire alle limitazioni certificate dal dr. med. __________ nel suo referto del 22.09.2010 …” (doc. A, p. 11). Da parte sua, l’insorgente fa invece valere che l’amministrazione avrebbe dovuto “… mettere a raffronto il reddito ipotetico conseguito quale dentista indipendente senza le limitazioni dovute all’infortunio e quello effettivamente conseguito, rispettivamente in applicazione dell’art. 18 cpv. 2 LAINF i redditi che un assicurato di mezza età vittima di un danno alla salute della stessa gravità avrebbe potuto conseguire con l’attività indipendente di medico dentista con quelli di un assicurato di mezza età senza limitazioni.” (doc. I, p. 9). 2.6.   Il reddito da valido é quello che l’assicurato avrebbe potuto ottenere qualora non fosse divenuto invalido (art. 16 LPGA). Per determinare il reddito da valido, occorre stabilire, con il grado della verosimiglianza preponderante, quanto l’assicurato avrebbe effettivamente potuto ottenere al momento determinante se non fosse stato invalido. Il reddito senza invalidità deve essere valutato il più concretamente possibile, motivo per cui lo si deduce di principio dall’ultimo salario conseguito dall’assicurato prima dell’insorgenza del danno alla salute, tenuto conto dell’evoluzione dei salari. Le possibilità teoriche di sviluppo professionale o di promozione devono essere prese in considerazione soltanto se é molto verosimile che esse si sarebbero concretizzate. Al riguardo, occorre esigere la prova d’indizi concreti che l’assicurato avrebbe di fatto ottenuto un avanzamento oppure un aumento corrispondente del proprio reddito, nel caso in cui non fosse insorto il danno alla salute. Ciò potrebbe essere il caso se il datore di lavoro ha lasciato intendere una simile prospettiva d’avanzamento o ha fornito delle assicurazioni in questo senso. Per contro, delle semplici dichiarazioni d’intento da parte dell’assicurato non sono sufficienti. Quando l’invalidità é la conseguenza di un infortunio, tali indizi devono esistere già al momento in cui quest’ultimo é accaduto (cfr. STF 8C_145/2012 del 9 novembre 2012 consid. 3.1 e riferimenti ivi menzionati). In ossequio alla DTF 128 V 174 consid. 4a, per la valutazione del grado d’invalidità fanno stato i redditi riferiti all’anno in cui sarebbe insorto l’eventuale diritto alla rendita di invalidità ( in casu , i redditi del 2010). Chiamato a pronunciarsi nella concreta evenienza, questo Tribunale rileva che, al momento in cui si é infortunato, il ricorrente risultava dipendente del dr. med. dent. __________ in qualità di medico-dentista, percependo un reddito mensile lordo pari a fr. 10'000 (cfr. doc. M 1). Dalla documentazione agli atti si evince inoltre che l’assicurato é titolare di un diploma di dentista conseguito nella __________, diploma che, nel mese di marzo 2008, ha ottenuto il riconoscimento da parte della Commissione delle professioni mediche MEBEKO. Successivamente, nel corso del mese di aprile 2008, l’Ufficio cantonale di sanità ha autorizzato l’insorgente al libero esercizio nel Cantone della professione di medico-dentista (cfr. allegati al doc. A 38). Quindi, a partire dal 1° maggio 2008, il dr. RI 1 ha aperto un proprio studio dentistico. Nel quadro della procedura di opposizione, é infine emerso -circostanza peraltro non contestata dall’amministrazione -, che l’assicurato “… già prima dell’infortunio era titolare del contratto d’affitto e proprietario delle attrezzature dello studio medico, …” (cfr. doc. A 40, p. 6). In esito a tutto ciò, il TCA ritiene che possa essere ammesso che il cambiamento di statuto, da dipendente a indipendente, é dipeso dal riconoscimento del diploma straniero di dentista da parte della preposta autorità svizzera e dalla conseguente autorizzazione cantonale al libero esercizio della professione di medico-dentista. Ne discende pertanto che l’assicurato sarebbe divenuto titolare di un proprio studio dentistico a prescindere dall’infortunio occorsogli l’8 giugno 2007. Ora, trattandosi della determinazione del grado dell’invalidità, ciò ha per conseguenza che il reddito da valido deve essere stabilito in funzione di quanto l’insorgente, senza il danno alla salute , avrebbe guadagnato nel 2010, svolgendo la professione di dentista indipendente . Alla luce di quanto precede, sostenere, con lo sostiene l’Istituto assicuratore resistente (cfr. consid. 2.5.), che il ricorrente non subirebbe alcuna perdita economica a causa dei postumi del sinistro assicurato, in quanto, in qualità di dentista indipendente, consegue un reddito almeno pari a quello che egli realizzava prima dell’infortunio (quale dipendente), é dunque concettualmente sbagliato. Questa Corte osserva che tale aspetto, pertinentemente sollevato dall’assicurato in sede tanto d’opposizione (cfr. doc. A 40, p. 5s.) che di ricorso (cfr. doc. I, p. 9), non é stato minimamente approfondito dall’, la quale si é accontentata di liquidarlo affermando che “… sia che si prenda come base reddituale l’ultimo reddito conseguito prima dell’infortunio quale dipendente o quello da indipendente (inizio attività indipendente maggio 2008), il risultato non muta, poiché, come già illustrato sopra, i redditi prima e dopo l’infortunio sono equivalenti se non addirittura superiori quelli conseguiti dopo l’infortunio.” (doc. I, p. 19). Di conseguenza, la decisione su opposizione impugnata deve essere annullata nella misura in cui all’assicurato è stato negato il diritto alla rendita d’invalidità. Gli atti vengono quindi retrocessi all’assicuratore resistente, affinché ponga in atto quegli atti istruttori che giudica utili per accertare l’entità del reddito senza l’invalidità in conformità a quanto stabilito in precedenza dal TCA , e decida di nuovo sul diritto alla rendita di invalidità. In questo contesto - visto che, al momento della decorrenza dell’eventuale rendita (cfr. STF 8C_164/2010 del 30 giugno 2010 consid. 5.2 e riferimenti ivi citati) , e meglio il 1° dicembre 2010, il dr. RI 1 si trovava in età avanzata ai sensi della giurisprudenza (cfr. RAMI 1990 U 115 p. 389 consid. 4c-e), in quanto aveva compiuto 67 anni -, la CO 1 terrà conto, per quanto ciò sia necessario, del disposto dell’art. 28 cpv. 4 OAINF, secondo il quale se a causa della sua età l’assicurato non riprende più un’attività lucrativa dopo l’infortunio ( variante I ) o se la diminuzione della capacità di guadagno è essenzialmente dovuta alla sua età avanzata ( variante II ), sono determinanti per valutare il grado d’invalidità i redditi che potrebbe conseguire un assicurato di mezza età vittima di un danno alla salute della stessa gravità (per dei casi d’applicazione di questa disposizione, si vedano la STCA 35.2011.72 dell’8 agosto 2012 consid. 2.4.4 e la STCA 35.2011.63 del 13 agosto 2012 consid. 2.6, cresciute incontestate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