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35.2013.32 vom 20. Juni 2013</w:t>
      </w:r>
    </w:p>
    <w:p>
      <w:r>
        <w:t>TI Tribunale d'appello, 2013-06-20, IT</w:t>
      </w:r>
    </w:p>
    <w:p>
      <w:r>
        <w:rPr>
          <w:b/>
        </w:rPr>
        <w:t xml:space="preserve">Quelle: </w:t>
      </w:r>
      <w:r>
        <w:t>https://mcp.opencaselaw.ch/entscheid/ti_gerichte_35.2013.32</w:t>
      </w:r>
    </w:p>
    <w:p>
      <w:r>
        <w:t>FR: TI_GERICHTE 35.2013.32 du 20 juin 2013</w:t>
      </w:r>
    </w:p>
    <w:p>
      <w:r>
        <w:t>IT: TI_GERICHTE 35.2013.32 del 20 giugno 2013</w:t>
      </w:r>
    </w:p>
    <w:p>
      <w:pPr>
        <w:pStyle w:val="Heading2"/>
      </w:pPr>
      <w:r>
        <w:t>Regeste</w:t>
      </w:r>
    </w:p>
    <w:p>
      <w:r>
        <w:t>Tamponamento con trauma da colpo di frusta cervicale. Rinvio atti ad amministrazione per esecuzione perizia medica pluridisciplinare volta ad accertare persistenza (o meno) di un nesso di causalità naturale</w:t>
      </w:r>
    </w:p>
    <w:p>
      <w:pPr>
        <w:pStyle w:val="Heading2"/>
      </w:pPr>
      <w:r>
        <w:t>Erwägungen</w:t>
      </w:r>
    </w:p>
    <w:p>
      <w:r>
        <w:rPr>
          <w:b/>
        </w:rPr>
        <w:t>E. 11</w:t>
      </w:r>
    </w:p>
    <w:p>
      <w:r>
        <w:t>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é libero di scegliere se ordinare direttamente una perizia giudiziaria oppure rinviare gli atti all’amministrazione affinché disponga essa stessa una perizia seguendo la procedura di cui all’art. 44 LPGA. Nella presente fattispecie, trattandosi della valutazione della causalità naturale, tale aspetto non necessita semplicemente di una precisazione o di un chiarimento. Va però rilevato che CO 1 ha fondato la propria decisione sul solo parere del dott. __________, suo medico di fiducia. Per il TCA sono pertanto realizzati i presupposti per un rinvio degli atti all’amministrazione (cfr. STF 8C_59/2011 del 10 agosto 2011 e DTF 135 V 465; si veda pure la STCA 35.2011.10 del 12 ottobre 2011, cresciuta in giudicato). P er le ragioni già diffusamente esposte al considerando 2.9. , si giustifica l’annullamento della decisione su opposizione impugnata. L’assicuratore LAINF resistente, a cui gli atti vengono dunque retrocessi, dovrà disporre un approfondimento peritale interdisciplinare (che includa pure l’aspetto psichiatrico; cfr. DTF 134 V 109 consid. 9.5) con lo scopo di appurare se i disturbi denunciati dall’assicurata oltre il 31 gennaio 2013, costituivano ancora una conseguenza naturale del trauma subito il 24 settembre 2012 . Sulla base delle relative risultanze, l’Istituto dovrà decidere di nuovo sull’ulteriore diritto a prestazioni, dal profilo materiale e temporale. 2.12.   Con l’emanazione della presente sentenza, diventa priva di oggetto l’istanza tendente al ripristino dell’effetto sospensivo del ricorso (cfr. doc. I, p.17ss.). 2.13.   L'assicurata ha chiesto di essere posta al beneficio dell'assistenza giudiziaria con gratuito patrocinio (cfr. doc. I, p. 19). Visto l'esito favorevole del ricorso, la ricorrente, patrocinata da un avvocato, ha diritto al versamento da parte de CO 1 di fr. 2'000 a titolo di ripetibili. Secondo la costante giurisprudenza del Tribunale federale l'assegnazione di ripetibili rende priva d'oggetto l'istanza di assistenza giudiziaria con gratuito patrocinio (DTF 124 V 309 consid. 6; STF I 911/06 del 2 febbraio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