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35.2012.90 vom 18. April 2013</w:t>
      </w:r>
    </w:p>
    <w:p>
      <w:r>
        <w:t>TI Tribunale d'appello, 2013-04-18, IT</w:t>
      </w:r>
    </w:p>
    <w:p>
      <w:r>
        <w:rPr>
          <w:b/>
        </w:rPr>
        <w:t xml:space="preserve">Quelle: </w:t>
      </w:r>
      <w:r>
        <w:t>https://mcp.opencaselaw.ch/entscheid/ti_gerichte_35.2012.90</w:t>
      </w:r>
    </w:p>
    <w:p>
      <w:r>
        <w:t>FR: TI_GERICHTE 35.2012.90 du 18 avril 2013</w:t>
      </w:r>
    </w:p>
    <w:p>
      <w:r>
        <w:t>IT: TI_GERICHTE 35.2012.90 del 18 aprile 2013</w:t>
      </w:r>
    </w:p>
    <w:p>
      <w:pPr>
        <w:pStyle w:val="Heading2"/>
      </w:pPr>
      <w:r>
        <w:t>Regeste</w:t>
      </w:r>
    </w:p>
    <w:p>
      <w:r>
        <w:t>Diritto alla rendita negato a ragione dall'assicuratore LAINF,visto il grado di invalidità inferiore al 10%. Entità IMI del 15%, ma ridotta al 10% in ragione dei disturbi degenerativi già presenti, è corretta</w:t>
      </w:r>
    </w:p>
    <w:p>
      <w:pPr>
        <w:pStyle w:val="Heading2"/>
      </w:pPr>
      <w:r>
        <w:t>Erwägungen</w:t>
      </w:r>
    </w:p>
    <w:p>
      <w:r>
        <w:rPr>
          <w:b/>
        </w:rPr>
        <w:t>E. 25</w:t>
      </w:r>
    </w:p>
    <w:p>
      <w:r>
        <w:t>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 tenuto conto del parere del dr. __________, a mente del quale ad un’IMI lorda attribuibile all’interessato del 15% vada applicata una riduzione del 5% in considerazione dell’esistenza di lesioni degenerative pregresse - ha riconosciuto all’assicurato un’IMI netta del 10%. Il patrocinatore del ricorrente, ritenendo corretta la percentuale lorda del 15% indicata dal dr. __________, ha per contro contestato la riduzione del 5%, ritenendo che l’esistenza di lesioni degenerative pregresse sia solo probabile e non sia stata invece accertata medicalmente, motivo per il quale ha chiesto che venga allestita una perizia medica (doc. I). Chiamato a pronunciarsi, questo Tribunale, considerata anche l'assenza di pareri specialistici divergenti, non vede motivi che gli impongano di scostarsi dall’apprezzamento del 19 gennaio 2012 del dr. __________, il quale ha rilevato che: " (…) si considera in particolar modo la tabella nr. 1 che riporta menomazione dell’integrità fisica riguardante traumi delle estremità superiori, presso il nostro assicurato alla spalla dominante destra. In considerazione della visita clinica odierna e delle limitazioni funzionali residue e definitive della spalla destra dominante, valutando la tabella menzionata, con movimenti attivi di abduzione ed elevazione anteriore in particolar modo non possibili oltre l’orizzontale dei due cingoli omero scapolari, questo darebbe diritto ad un’IMI lorda del 15%, a questo va dedotto un 5% per lesioni degenerative preesistenti ai tendini della cuffia rotatoria, con menzione anche da parte del dott. __________ in questo senso. La situazione quindi post-traumatica residua alla spalla destra dà diritto ad un’IMI netta del 10%." (Doc. 75) Il TCA concorda con questa esposizione dettagliata e convincente, con la quale il dr. __________ , specialista nella materia che qui interessa e che vanta una notevole esperienza nella medicina infortunistica e assicurativa, ha motivatamente spiegato le ragioni per le quali, nel caso concreto, il grado di menomazione durevole sarebbe del 15% ma, tenuto conto dei disturbi degenerativi già presenti, raggiunge il 10%. A proposito della percentuale lorda dell’IMI, del 15%, riconosciuta dal dr. __________s, il TCA ritiene di non doversi dilungare oltre sull’argomento, ritenuto che lo stesso patrocinatore dell’assicurato ne ha riconosciuto la correttezza. Del resto, ciò appare corretto, considerato che la tabella n. 1 edita dalla Divisione medica dell’INSAI prevede che a una spalla mobile sino all’orizzontale, che presenta pertanto un blocco meccanico sopra i 90° (situazione analoga a quella in cui si trova l’assicurato), coincide una menomazione all’integrità del 15%. Quanto alla riduzione operata dall’assicuratore infortuni, contestata dal ricorrente, va rilevato quanto segue. Secondo l'art. 36 cpv. 2 LAINF, le rendite di invalidità, le indennità per menomazione all'integrità e le rendite per superstiti sono adeguatamente ridotte se il danno alla salute o la morte è solo in parte imputabile all'infortunio (prima frase). Per la riduzione delle rendite non si terrà tuttavia conto delle affezioni anteriori non pregiudizievoli alla capacità di guadagno (seconda frase). L'applicazione di questa disposizione presuppone che l'infortunio ed un evento non assicurato abbiano causato assieme il danno alla salute. Per contro, l'art. 36 cpv. 2 LAINF, non è applicabile quando l'infortunio e l'evento non assicurato abbiano provocato dei danni senza correlazione reciproca, che necessitano di terapie differenti, ad esempio, perché interessano parti diverse del corpo. In questo caso, le conseguenze dell'infortunio assicurato vanno valutate separatamente (cfr. DTF 126 V 117 consid. 3a, 121 V 333 consid. 3c, 113 V 58 consid. 2 ed i riferimenti ivi menzionati). Nel caso di specie, l’CO 1 ha operato una riduzione del 5% sull’IMI lorda, per tenere conto dell’esistenza di “lesioni degenerative preesistenti ai tendini della cuffia rotatoria, con menzione anche da parte del dr. __________ in questo senso”, conformemente a quanto indicato dal dr. __________ (cfr. doc. 75). Al riguardo, il TCA constata che, come rilevato dal dr. __________, il dr. __________, nel rapporto intermedio del 19 agosto 2011 indirizzato all’assicuratore infortuni, ha effettivamente indicato l’esistenza di pregresse lesioni degenerative, osservando, nella risposta “2b. fattori extra-traumatici”, “sì, probabile vecchia lesione degenerativa con peggioramento della stessa durante la caduta dell’8.10.2010” (doc. 52a). Inoltre, come indicato dall’assicuratore infortuni nella decisione impugnata, il dr. __________, nel referto del 14 dicembre 2010 indirizzato al curante dell’assicurato, dr. __________, aveva sottolineato di avere “consigliato di tentare di riparare la cuffia dei rotatori tramite un intervento in artroscopia. Ho però anche spiegato al paziente che non si poteva essere sicuri della riparabilità dei tendini in quanto sono già molto retratti e il tessuto non sembra di ottima qualità” (doc. 16). In questo contesto, è utile evidenziare che il TCA, in una sentenza 35.2001.01 del 30 ottobre 2002, ha affrontato la tematica della rottura della cuffia dei rotatori. In quell'occasione questo Tribunale ha ordinato una perizia medico-giudiziaria a cura del dott. __________, Capo-clinica aggiunto presso la Clinica di ortopedia e di chirurgia dell'apparato locomotore dell'Ospedale universitario di __________, il quale ha osservato che con l'invecchiamento, la cuffia dei rotatori è sottoposta a un processo degenerativo. Il perito ha in particolare sviluppato le seguenti considerazioni a proposito della genesi della rottura dei tendini della cuffia dei rotatori: "(…) La question si une rupture d'un tendon de la coiffe des rotateurs de l'épaule directement liée à un événement accidentel ou si celui-ci a été aggravé à une condition dégénérative déjà préexistante est une des plus difficiles dans le domaine des expertises orthopédiques. II est évident que pour le patient, comme dans le cas de Monsieur A., la causalité entre la rupture avec apparition de douleurs immédiates et le traumatisme est clair. La réponse à la question de savoir si et sous quelle forme existe des ruptures accidentelles de la coiffe des rotateurs qui satisfont aux conditions requises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5ème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 Chez des sujets au-dessus de 40 ans, la coiffe des rotateurs n'a très probablement aucune possibilité de régénération. Par , la suite, les fibres tendineuses perdent de force et avec les années le tendon s'élargit et s'amincit. A ce stade là, dans la majorité des cas, les premiers symptômes apparaissent en général sous forme de douleurs nocturnes et ensuite par la diminution de la force du membre intéressé et pseudoparalyse. Un événement traumatique, même léger comme dans le cas de Monsieur A., peut être suffisant pour compléter une rupture jusqu'à ce moment incomplète et non symptomatique. A ce moment, il reste à prouver si l'événement accidentel a effectivement provoqué la rupture du tendon dégénéré ou s'il était la seule cause de la lésion complète du tendon. Des critères de causalité ont été élaborés par Loew &amp; Rompe ainsi que par Beickert &amp; Bühren (voir bibliographie) permettant d'apprécier si une rupture de la coiffe des rotateurs est de caractère accidentel ou dégénératif et sont recommandés par la Société suisse d'orthopédie. Les critères parlant en faveur d'une étiologie dégénérative de la lésion de notre patient sont: l'âge au-dessus de 50 ans, l'action ulnérante inappropriée (seulement un mouvement passif violent du bras en arrière et en dedans ainsi qu'une abduction véhémente et forcée ou une élévation du bras contre résistance dans le cadre d'un mouvement réflexe ou de défense sont appropriés à provoquer une lésion complète d'un tendon du muscle sus-épineux sain). L'examen radiologique montre une ascencion de la tête humérale, des ostéophytes de traction à la surface inférieure de l'acromion. Ces signes sont des preuves radiologiques indirectes d'une rupture de la coiffe des rotateurs de longue date. La découverte de lésions pratiquement symétriques au niveau de l'épaule opposée souligne clairement la suspicion des déchirures dégénératives et fait preuve de la possibilité d'une présence de rupture complète du tendon sus-épineux asymptomatique. En conclusion, je suis donc d'avis que la déchirure du muscle sus-épineux de l'épaule droite chez M. A. est principalement de caractère dégénératif, mais aggravé et devenu symptomatique lors d'un traumatisme banal de l'épaule droite. La relation entre la lésion complète du tendon du muscle sus-épineux et l'événement accidentel du 03.02.2000 me semble peu probable. Par contre, l'apparition d'une symptomatologie douloureuse suite à un traumatisme même banal de l'épaule est probable et typique en présence d'une coiffe des rotateurs dégénérée. (…)." (STCA succitata) Alla luce di quanto appena esposto, il TCA non ha quindi motivi per distanziarsi da quanto valutato dal dr. __________, senza che si riveli necessario procedere a degli ulteriori atti istruttori, come richiesto invece dal legale dell’assicurato (cfr. doc. I, doc. V).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Pertanto, ritenuta la preesistenza di uno stato degenerativo, a mente del TCA appare giustificato, conformemente all'art. 36 cpv. 2 LAINF, ridurre del 5% l'IMI, come proposto dal dr. __________, portandola al 10%, dato che il danno alla salute presentato dal ricorrente è solo in parte imputabile all'infortunio.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