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35.2012.72 vom 11. Juli 2013</w:t>
      </w:r>
    </w:p>
    <w:p>
      <w:r>
        <w:t>TI Tribunale d'appello, 2013-07-11, IT</w:t>
      </w:r>
    </w:p>
    <w:p>
      <w:r>
        <w:rPr>
          <w:b/>
        </w:rPr>
        <w:t xml:space="preserve">Quelle: </w:t>
      </w:r>
      <w:r>
        <w:t>https://mcp.opencaselaw.ch/entscheid/ti_gerichte_35.2012.72</w:t>
      </w:r>
    </w:p>
    <w:p>
      <w:r>
        <w:t>FR: TI_GERICHTE 35.2012.72 du 11 juillet 2013</w:t>
      </w:r>
    </w:p>
    <w:p>
      <w:r>
        <w:t>IT: TI_GERICHTE 35.2012.72 del 11 luglio 2013</w:t>
      </w:r>
    </w:p>
    <w:p>
      <w:pPr>
        <w:pStyle w:val="Heading2"/>
      </w:pPr>
      <w:r>
        <w:t>Regeste</w:t>
      </w:r>
    </w:p>
    <w:p>
      <w:r>
        <w:t>Assicuratore LAINF ha correttamente rifiutato all'assicurato,per le sole conseguenze dell'infortunio e facendo astrazione dai problemi ORL(non in nesso causale con l'infortunio),il diritto ad una rendita. Corretta anche attribuzione di un'IMI aggiuntiva del 5% rispetto a quella precedente del 10%</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2.2.3.   Con la decisione su opposizione impugnata, l’amministrazione, facendo capo alla valutazione espressa dal proprio medico fiduciario dr. __________, specialista FMH in chirurgia ortopedica, ha escluso la propria responsabilità per quanto riguarda le affezioni ORL. In occasione della visita medica __________ del 13 dicembre 2011, il dr. __________ ha posto quali diagnosi non di competenza CO 1 quelle di “spondilosi ed uncartrosi C4 a C7, ernia discale C5/C6 e C6/C7 con probabile conflitto radicolare C7 a sinistra; lieve sindrome del tunnel carpale a sinistra; deficit vestibolare periferico a sinistra; ipoacusia bilateralmente; diabete mellito” (doc. 61 fasc. 5). L’assicurato, dal canto suo, ha a più riprese contestato la decisione dell’amministrazione di non considerare di origine infortunistica i suoi disturbi ORL, rilevando di avere rotto il timpano sinistro a seguito della caduta del 7 giugno 2011. Attentamente vagliata la documentazione medica presente agli atti questa Corte, chiamata a pronunciarsi in merito a una questione di carattere medico, ritiene che l’apprezzamento del 13 dicembre 2011 del dr. __________ (cfr. doc. 61 fasc. 5), sanitario che vanta un’ampia esperienza in materia di medicina infortunistica e assicurativa e secondo cui le diagnosi di “ deficit vestibolare periferico a sinistra e ipoacusia bilateralmente” non sono da considerare di competenza CO 1 , possa validamente costituire da supporto probatorio al presente giudizio, senza che si riveli necessario esperire ulteriori provvedimenti probatori. Va, a tale proposito, innanzitutto osservato che la valutazione del dr. __________ si basa sugli esiti degli accertamenti audiologici ai quali l’assicurato è stato sottoposto in data 12 luglio 2011 - e quindi a distanza di solo un mese dall’infortunio del 7 giugno 2011 - presso il Servizio di audiovestibologia dell’Ospedale __________. Nel referto del 18 luglio 2011, il dr. __________ e la dr.ssa __________, posta la diagnosi di “deficit vestibolare periferico a sinistra”, di eziologia “incerta”, con possibile diagnosi differenziale di un “idrope endolinfatico, infiammatorio, virale, neurodegenerativo, cerebrovascolare”, hanno rilevato che “il paziente riferisce da circa quattro mesi vertigini soggettive con instabilità, presenti unicamente alla deambulazione”, riscontrando, all’esame ORL, un “condotto uditivo libero bilateralmente, membrana timpanica intatta” (doc. 11 fasc. 5). Le conclusioni del dr. __________ inoltre e soprattutto, trovano conferma anche nel referto del dr. __________, spec. FMH in malattie orecchio naso gola, consultato in corso di causa dall’assicurato stesso su richiesta del proprio medico curante, dr. __________. Nel suo referto del 14 marzo 2013, il dr. __________ ha chiaramente escluso l’esistenza di disturbi di origine post-traumatica, rilevando che: " (…) Riassumendo non possiamo al momento attuale rilevare alcun indizio clinico o strumentale che indichi la presenza o gli esiti d’un trauma otologico con sequele funzionali. Le membrane timpaniche si presentano calme ed intatte, la capacità uditiva è leggermente diminuita ad entrambe le orecchie in modo simmetrico, come nell’incipiente presbiacusia.” (Doc. E1) Quanto alla pretesa necessità - invocata a più riprese dal ricorrente per giustificare un suo presunto diritto ad una rendita di invalidità - di essere sottoposto ad una visita neurologica, come richiesto dal dr. __________ il TCA evidenzia, innanzitutto, che nel referto del 14 marzo 2013 questo specialista si è limitato ad indicare che “abbiamo anche accennato all’eventualità di procedere ad un consilium neurologico”, senza aggiungere altro (doc. E1). Inoltre, il TCA sottolinea che l’assicurato è stato, nel corso degli anni, più volte visitato da specialisti in neurologia, in particolare dal dr. __________ e dal dr. __________. In particolare, dopo la caduta del 7 giugno 2011 oggetto della presente controversia, il dr. __________, spec. FMH in neurologia, nell’ultimo referto del 13 febbraio 2012 concernente le visite mediche  del 20 gennaio 2012 e del 3 febbraio 2012, dopo aver posto le diagnosi di “nuova caduta, eventualmente su ipoglicemia (7.6.2011) con nuova frattura scomposta al polso sinistro, rioperata il 16.6.2011; persistente sofferenza del nervo mediano nel canale carpale, presenza anche di una polineuropatia distale simmetrica di origine diabetica; disturbi dell’equilibrio multifattoriali in presenza della neuropatia, vecchia lesione vestibolare sinistra”, ha specificatamente indicato che l’assicurato è “noto fin dal 1985 per una sindrome vestibolare sinistra, eventualmente all’inizio di origine infiammatoria, nell’ambito di una polinevrite cranica (paresi del III nervo cranico destro nel 1976) si era all’epoca anche sospettata la presenza di una malattia demielinizzante, in seguito non più confermata” (doc. 78 fasc. 5). Il dr. __________ - dopo accurata analisi dell’interessato, la quale ha permesso di escludere la presenza di lesioni demielinizzanti del sistema nervoso centrale, di una sindrome cervico-vertebrale maggiore e di una sofferenza midollare cervicale - ha concluso di non avere particolari proposte terapeutiche (doc. 78 fasc. 5). In esito alle considerazioni che precedono, il TCA non ritiene dimostrato, secondo il grado della verosimiglianza preponderante caratteristico del settore della sicurezza sociale (cfr. cfr. STF 8C_999/2010 del 15 marzo 2011; STF 8C_911/2010 del 10 marzo 2011 consid. 3.2; STF 8C_909/2010 del 1° marzo 2011; DTF 129 V 177 consid. 3 pag. 181; DTF 126 V 353 consid. 5b pag. 360; DTF 125 V 193 consid. 2 pag. 195 ), un legame causale tra i disturbi ORL presentati dall’assicurato e l’infortunio del 7 giugno 2011 assunto dall’assicuratore infortuni. Analogo discorso vale per i problemi a livello dorsale e lombare fatti valere dall’assicurato, per la prima volta, in corso di causa, tramite presentazione dei rapporti MRI colonna dorsale del 26 febbraio 2013 (cfr. doc. D2) e MRI colonna lombare 13 febbraio 2013 (cfr. doc. D1). In entrambi i referti, difatti, vengono poste in rilievo “alterazioni degenerative spondilotiche ventrali e dorsali su diversi livelli” (doc. D2), rispettivamente la “marcata degenerazione e disidrosi delle strutture discali del tratto lombare, la lieve anterolistesi di L3 su L4 di natura verosimilmente degenerativa e i concomitanti marcati aspetti degenerativo-artrosici in sede somatica con osteofitosi anteriore e posteriore” (doc. D1). 2.3. Diritto alla rendita di invalidità Si tratta ora di valutare il grado d’invalidità e dell’IMI spettanti a RI 1 tenuto conto dei soli danni alla salute in relazione di causalità con l’infortunio del 7 giugno 2011. 2.3.1.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P 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U 259/02 dell'8 luglio 2003,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108ss.).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2.3.4.   Nella concreta fattispecie, controversa fra le parti è innanzitutto la capacità lavorativa residua dell’assicurato nella sua precedente attività di contabile, ritenuta piena dall’assicuratore infortuni, ma non dal ricorrente. In occasione della visita medica __________ del 13 dicembre 2011, il dr. __________, specialista FMH in chirurgia ortopedica, ha posto le diagnosi di competenza CO 1 di “frattura pluriframmentaria intrarticolare e matafisaria del radio distale sinistro e frattura del processo stiloide ulna sinistra (7.6.2011); malunione radio distale sinistro con raccorciamento e in estensione con incongruenza e artrosi dell’articolazione radioulnare distale polso sinistro. Artrosi della radiocarpica e della ulnocarpica nonché intracarpica a sinistra; frattura extrarticolare del radio distale sinistro (2.4.2009); probabile trauma distorsivo della colonna cervicale (7.6.2011); trauma contusivo emicostato sinistro (7.6.2011)” (doc. 61 fasc. 5). Il dr. __________, considerato che l’assicurato non necessitava di cure particolari - ma indicando solo che “eventualmente, in futuro, da considerare l’asportazione della placca al polso sinistro. A lungo termine da prevedere progressione delle alterazioni artrosiche con in futuro aumento della sintomatologia algica e del deficit funzionale richiedendo ulteriori trattamenti medici”, cfr. doc. 61 pag. 9 fasc. 5) - ha ritenuto che egli potesse riprendere l’attività lavorativa al 100% a partire dal 23 dicembre 2011 (doc. 61 fasc. 5). Il medico __________ ha, al riguardo, precisato che “in base all’esame clinico e radiologico attualmente non abbiamo elementi che incidono sulla capacità lavorativa e per le conseguenze infortunistiche dell’infortunio avvenuto il 7.6.2011 l’assicurato rimane abile al lavoro svolto prima dell’infortunio in misura completa come riferito in occasione dell’ultima visita medico-circondariale. Attualmente persiste però un’inabilità lavorativa al 100% a causa del temporaneo peggioramento della situazione provocata dal nuovo infortunio del 18.11.2011. Da prevedere di nuovo ripresa del lavoro in misura completa a partire dal 23 dicembre 2011” (doc. 61 pag. 9 fasc. 5). Il TCA concorda con queste considerazioni, ben motivate, espresse dal dr. __________, che, del resto, non sono state smentite in sede ricorsuale dall’assicurato tramite la presentazione di documentazione medico-specialistica di senso contrario. Le conclusioni del dr. __________, inoltre, sono state condivise anche dal dr. __________, spec. FMH in chirurgia della mano, il quale, nel referto del 4 giugno 2012, ha rilevato che “attualmente il paziente ha dei dolori molto comprensibili legati in modo particolare all’articolazione radio-ulnare distale e all’impingement ulno-carpico. I movimenti di flessione-estensione (30-0-50°), di duzione ulno-radiale (30-0-20°) e di prosupinazione (60-0-60°) si sovrappongono a quelli da me misurati al 9 giugno 2010. Ciò significa che la situazione attuale, dopo l’incidente del 7 giugno 2011, è ritornata come prima” (doc. 109 fasc. 5). Quanto al problema dei dolori risentiti dall’assicurato, il dr. __________ ha indicato di concordare “con quanto già proposto dal Prof. dr. med. __________ alla Clinica Universitaria del __________ ovverosia la resezione della testa dell’ulna e l’introduzione di un’endoprotesi. Chiaramente questo intervento deve essere fatto se i dolori sono tali da rendere la vita del paziente molto difficoltosa” (doc. 109 fasc. 5). Il TCA rileva - per inciso - che il suddetto intervento di resezione della testa dell’ulna, in un primo momento accettato dall’assicurato (doc. 91 fasc. 3), è stato poi da lui rifiutato, come risulta dal referto concernente la visita medica __________ del 4 novembre 2010 redatto il 9 novembre 2010 dal dr. __________, spec. FMH in chirurgia generale e della mano, il quale aveva ritenuto, a quel momento, RI 1 pienamente abile al lavoro nella sua precedente attività d’ufficio dal mese di novembre 2010 (doc. 114 fasc. 3). Le critiche sollevate dal ricorrente riguardo al modo di agire dell’assicuratore infortuni - reo, a suo avviso, di avere inviato copia della valutazione effettuata dal dr. __________ al dr. __________, da lui chiamato a rendere un giudizio neutrale, così da influenzarne l’apprezzamento (cfr. doc. IX) - non possono essere condivise da questo Tribunale. Infatti, da una parte, il dr. __________, già nel passato, era stato messo al corrente delle valutazioni espresse dai medici __________ dell’assicuratore infortuni (cfr. doc. 101 e doc. 114 fasc. 3) e, d’altra parte, il fatto di disporre della valutazione del dr. __________ serviva, semmai, al dr. __________ per avere conoscenza della situazione globale dell’interessato, in modo tale da poter esprimere un parere in piena conoscenza di causa. Infine, la valutazione del dr. __________ non può venire smentita dal referto del 9 marzo 2012, con il quale il dr. __________, medicina generale, ha attestato una inabilità lavorativa del 100% dal 23 dicembre 2011 al 31 marzo 2012 “per dolori all’arto superiore sinistro, vertigini e instabilità corporea in relazione con l’infortunio del 1.4.2009 e l’infortunio del 7.6.2011” (doc. 98a fasc. 5), ritenuto che, come visto in precedenza (cfr. consid. 2.2.3.), i disturbi di natura ORL non sono a carico dell’assicuratore infortuni. Del resto, con certificato del 28 febbraio 2012, il dr. __________, Capo clinica di chirurgia dell’ __________, ha attestato una totale inabilità lavorativa dell’assicurato dal 23 dicembre 2011 al 31 marzo 2012 “per malattia”, specificando che l’inabilità è dovuta a “dolore post-traumatico polso sx; artrosi polso; polineuropatia diabetica; disturbi vestibolari” (doc. 98b fasc. 5). Infine, il TCA rileva che, come del resto già indicato dal dr. __________ in occasione della visita medica __________ del 14 settembre 2011, l’assicurato presenta anche “una nota artrosi degenerativa pisotriquetrale della mano sinistra” e “i riferiti disturbi all’avambraccio e al braccio sono solo parzialmente spiegabili con i postumi infortunistici” (cfr. doc. 148 pag. 7 fasc. 3). Da notare, pure, la presenza di aspetti degenerativi carpo-metacarpali, come indicato dal dr. __________ nel referto del 28 ottobre 2009 concernente l’esame TAC polso sinistro del 28 ottobre 2009 (doc. 60 fasc. 3). Alla luce di quanto appena esposto, la decisione dell’CO 1 di negare il diritto ad una rendita d’invalidità non può che essere tutelata dallo scrivente TCA. Infatti, accertato che, per le sole sequele post-infortunistiche, l’assicurato non presenta alcuna incapacità lavorativa nella sua attività professionale di contabile, è giocoforza ammettere l’inesistenza di qualsivoglia incapacità di guadagno. 2.4. Entità dell’indennità per menomazione all’integrità 2.4.1.   Secondo l'art. 24 cpv. 1 LAINF, l'assicurato ha diritto ad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2.4.3.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2.4.5. Nel caso di specie l’assicuratore LAINF resistente, sulla base della valutazione del 4 novembre 2010 del dr. __________ (doc. 113 fasc. 5) e di quella del 13 dicembre 2011 del dr. __________ (doc. 60 fasc. 5), ha riconosciuto all’assicurato un’IMI globale del 15%. Chiamato a pronunciarsi, questo Tribunale, considerata anche l'assenza di pareri specialistici divergenti, non vede motivi che gli impongano di scostarsi dall’apprezzamento del 13 dicembre 2011 del dr. __________ in seguito confermato anche dal dr. __________. Nel precedente apprezzamento medico del 4 novembre 2010 relativo agli esiti degli eventi infortunistici del 2 aprile 2009 e del 7 giugno 2010, il dr. __________ aveva assegnato un’IMI del 10%, sulla base delle seguenti considerazioni: " Si considera in particolar modo la tabella no 5 (revisione 2000) concernente la menomazione all’integrità fisica riguardante stati di artrosi post-traumatica alle estremità superiori, e presente nell’assicurato un’artrosi in particolar modo dell’articolazione radio-ulnare sinistra del polso adominante. Valutando l’assicurato sia dal punto di vista clinico funzionale e valutando gli esami radiologici, viene considerata appunto l’artrosi dell’articolazione radio-ulnare sinistra apparsa dopo l’infortunio del 2.4.2009 in cui il paziente ha subito la frattura del radio distale curata conservativamente. È presente un accorciamento del radio con impingement della testa dell’ulna nel carpo e un’artrosi dell’articolazione radio-ulnare distale, di grado medio, che dà diritto appunto ad un’IMI del 10%.” (Doc. 113 fasc. 3) A seguito dell’infortunio del 7 giugno 2011, nella valutazione del 13 dicembre 2011, il dr. __________ ha osservato: " Probabilmente la nuova frattura intraarticolare del radio distale ha peggiorato in modo direzionale la situazione a livello della radiocarpica con accentuazione della preesistente e molto probabilmente progrediente artrosi in futuro. Quindi considerando ulteriori prevedibili peggioramenti la situazione è paragonabile a un’artrosi della radiocarpica di grave entità che viene valutata secondo la tabella 5.2 da 10 a 25% ma situazione comunque non peggiore di una artrodesi del polso che viene valutata in misura del 15% secondo la tabella 5.2 e quindi il valore complessivo per i postumi infortunistici al polso sinistro viene considerato nella misura del 15%. Visto che nel passato è già stato concesso il 10% rimane il valore netto del 5%.” (Doc. 60 fasc. 5) Il TCA concorda con questa esposizione dettagliata e convincente, con la quale il dr. __________ ha motivatamente spiegato le ragioni per le quali, nel caso concreto, il grado di menomazione durevole - tenuto conto della artrosi dell’articolazione radio-carpica e anche della probabile evoluzione futura verso un’artrodesi - raggiunge il 15%. La valutazione del dr. __________ del resto, è stata condivisa anche dal dr. __________, il quale, nel referto del 4 giugno 2012, ha rilevato che “per quanto riguarda la valutazione del danno residuale permanente concordo con il dr. med. __________ ovverosia il danno residuale permanente è del 15%, il cui 10% era già stato anticipato prima del secondo incidente e il 5% è stato valutato in un secondo momento” (doc. 109 fasc. 5). Giova, del resto, ribadire che l'indennità per menomazione dell'integrità si valuta sulla base di constatazioni mediche. C 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soggettive patite dall'assicurato, non possono essere prese in considerazione nella valutazione dell'indennità per menomazione all'integrità. D’altro canto, il ricorrente ha sì preteso di avere diritto a un’IMI di un’entità maggiore, senza tuttavia portare alcun argomento medico-scientifico pertinente a sostegno di questa sua richiesta. Ne discende che questo Tribunale non è confrontato con validi indizi concreti suscettibili di far dubitare della fondatezza della valutazione, ben motivata, formulata dal dr. __________. Nella misura in cui all’assicurato è stata riconosciuta un’IMI del 5% in aggiunta a quella del 10% già riconosciutagli in precedenza, per un’IMI complessiva del 15%, la decisione su opposizione del 16 agosto 2012 merita quindi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