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35.2012.70 vom 17. Juni 2013</w:t>
      </w:r>
    </w:p>
    <w:p>
      <w:r>
        <w:t>TI Tribunale d'appello, 2013-06-17, IT</w:t>
      </w:r>
    </w:p>
    <w:p>
      <w:r>
        <w:rPr>
          <w:b/>
        </w:rPr>
        <w:t xml:space="preserve">Quelle: </w:t>
      </w:r>
      <w:r>
        <w:t>https://mcp.opencaselaw.ch/entscheid/ti_gerichte_35.2012.70</w:t>
      </w:r>
    </w:p>
    <w:p>
      <w:r>
        <w:t>FR: TI_GERICHTE 35.2012.70 du 17 juin 2013</w:t>
      </w:r>
    </w:p>
    <w:p>
      <w:r>
        <w:t>IT: TI_GERICHTE 35.2012.70 del 17 giugno 2013</w:t>
      </w:r>
    </w:p>
    <w:p>
      <w:pPr>
        <w:pStyle w:val="Heading2"/>
      </w:pPr>
      <w:r>
        <w:t>Regeste</w:t>
      </w:r>
    </w:p>
    <w:p>
      <w:r>
        <w:t>Assicurato, durante intervento chirurgico, cade dal tavolo operatorio e riporta trauma cranico semplice. Sintomatologia in parte non oggettivabile. Relativamente a quest'ultima, negata la causalità adeguata con l'infortunio (causalità naturale lasciata aperta)</w:t>
      </w:r>
    </w:p>
    <w:p>
      <w:pPr>
        <w:pStyle w:val="Heading2"/>
      </w:pPr>
      <w:r>
        <w:t>Erwägungen</w:t>
      </w:r>
    </w:p>
    <w:p>
      <w:r>
        <w:rPr>
          <w:b/>
        </w:rPr>
        <w:t>E. 30</w:t>
      </w:r>
    </w:p>
    <w:p>
      <w:r>
        <w:t>ottobre 2007, consid. 3, U 606/06 del 23 ottobre 2007, consid. 4 e U 299/05 del 28 maggio 2007, consid. 5.2), visto che l’obbligo a prestazioni dell’assicuratore LAINF va comunque negato facendo difetto l’adeguatezza. Nel valutare l'adeguatezza del legame causale, occorre avantutto procedere alla classificazione dell’infortunio occorso all’assicurato il 7 maggio 2004. L’insorgente ha fornito questa descrizione dell’evento: " (…). L’anestesia in un primo tempo confermo sia stata realizzata senza problemi e non ho risentito di alcun malessere. Su indicazione dell’anestesista, per avere un effetto ottimale dell’anestesia, mi sono dovuto girare sul fianco sinistro e da quell’istante non ricordo più nulla. Ricordo solo di essermi svegliato sul tavolo operatorio in stato confusionale ed avvertire sintomi di brivido e sudorazione fredda . L’anestesista, non ricordo se prima o dopo l’intervento chirurgico, mi spiegò cosa fosse accaduto. Dice che sono caduto dal tavolo e ho battuto il capo (tra orecchio sinistro e tempia) sul suolo, sono rimasto 6-7 secondi in stato d’incoscienza e poi mi sono alzato e sdraiato da solo sul tavolo.” (doc. 22) In sede di ricorso, l’assicurato ha precisato che la caduta é avvenuta da un’altezza di un metro o poco più (cfr. consid. 1.4.). A causa di questo sinistro, egli ha lamentato un trauma cranico minore (cfr. doc. 267, p. 20s.), da cui si é sviluppata una complessa sintomatologia, prevalentemente priva di sufficiente correlato organico. Tenuto conto della dinamica dell’evento - in particolare del fatto che, dato lo stato in cui versava in quel frangente, l’assicurato é caduto a peso morto dal tavolo operatorio, donde una maggiore vulnerabilità -, e del danno riportato, il sinistro occorso al ricorrente non può essere classificato né fra quelli leggeri ma neppure fra quelli gravi: si tratta di un infortunio di media gravità in senso stretto . A titolo di confronto, va segnalato che l’Alta Corte (cfr. RAMI 1998 U 307 consid. 3a e riferimenti) ha giudicato grave la caduta di un gruista da un’altezza minima di otto metri, come pure la caduta da un’impalcatura alta da quattro a cinque metri su un marciapiede con plurime rilevanti fratture, e di media gravità al limite della categoria superiore , la caduta da più metri di altezza sulla schiena e sul sedere con fratture a diversi metatarsi e contusioni nella regione del dorso, come pure la caduta da un’altezza di circa cinque metri in cui l’assicurato aveva riportato una commozione cerebrale, una frattura dell’osso iliaco destro, una frattura del radio destro con lacerazione del processus styleoideus ulnae , una bursitis olecrani traumatica, nonché una ferita lacero-contusa sopra l’occhio destro. In tale eventualità, il giudice é tenuto a valutare le circostanze connesse con l’infortunio, secondo i criteri elaborati dal TFA e qui evocati al consid. 2.2.3.. Per ammettere l’adeguatezza del nesso causale, é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Occorre preliminarmente osservare che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L’infortunio occorso all’insorgente appare privo di ogni drammaticità o spettacolarità. Quelle riportate dal ricorrente, in sostanza un trauma cranico, accompagnato da vertigini e tinnito - disturbi per i quali l’ICO 1 ha ammesso esistere un sostrato organico (cfr. doc. 314; in merito al tinnito, va segnalata comunque la DTF 138 V 248, in cui il TF, dopo analisi della dottrina medica, ha precisato di non poter confermare l’ipotesi secondo la quale si tratterebbe di un disturbo organico oppure, perlomeno, riconducibile a una causa organica ) - non costituiscono delle lesioni somatiche gravi o particolarmente idonee a provocare un'elaborazione psichica abnorme (in questo stesso senso, si veda ad esempio la STF 8C_52/2008 del 5 settembre 2008 consid. 8.2 riguardante un assicurato che, caduto dopo essere stato urtato da un’autovettura, aveva accusato una commotio cerebri , una contusione toracica a destra con una serie di fratture costali, nonché alcune ferite lacero-contuse alla parte sinistra del volto; per quanto concerne il tinnitus , nella succitata DTF 138 V 248 consid. 6.2.2, riguardante un assicurato che, investito da un’autovettura, aveva lamentato nel decorso degli acufeni all’orecchio sinistro, il TF ha giudicato inadempiuto proprio il criterio in discussione). Nessun elemento all’inserto permette inoltre di ravvisare gli estremi per ammettere la presenza di una cura medica errata e notevolmente aggravante gli esiti dell’infortunio. Sempre tenuto conto dei soli postumi organici del sinistro del maggio 2004, il decorso della cura non può essere qualificato come sfavorevole e, d'altra parte, non sono nemmeno intervenute rilevanti complicazioni.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Questo Tribunale ritiene che non si possa nemmeno sostenere che la cura medica dipendente dall'evento infortunistico sia stata eccezionalmente lunga. Per ammettere l’adempimento di questo criterio, sarebbe infatti necessaria una cura medica continua che presenti una certa conformità a un piano mirante a migliorare lo stato di salute (RAMI 2005 U 549 consid. 5.2.4 e riferimenti). In questo senso, un trattamento che serve unicamente a conservare le condizioni di salute già esistenti, non ha di principio rilevanza nel quadro dell’esame dell’adeguatezza (STFA U 246/03 dell’11 febbraio 2004 consid. 2.4s. e U 37/06 del 22 febbraio 2007 consid. 7.3). Le carte processuali dimostrano che, fatta eccezione per la degenza 20 settembre-12 ottobre 2005 presso la __________, che ha avuto quale scopo principale quello di preparare l’assicurato a un reinserimento professionale (cfr. doc. 76), i provvedimenti terapeutici applicatigli (fisioterapia, ergoterapia, agopuntura, riflessologia del piede, ecc.) sono tutti stati eseguiti su base ambulatoriale. Per quanto riguarda specificatamente gli acufeni, RI 1 si é sottoposto a una rieducazione volta a imparare a meglio convivere con il disturbo. Trattandosi del disturbo dell’equilibrio, la terapia propostagli é semplicemente consistita in esercizi riabilitativi da svolgere a domicilio. In queste condizioni, può rimanere indeciso se sono adempiuti il criterio dei dolori somatici persistenti e quello del grado e durata dell'incapacità lavorativa , poiché questi due criteri da soli non potrebbe comunque giustificare l’adeguatezza del nesso di causalità (cfr. RDAT 2003 II n. 67 p. 276, U 164/02 consid. 4.7; RSAS 2001 p. 431, U 187/95). In esito a quanto precede, si deve concludere che i disturbi denunciati dall’insorgente (cefalee, cervicalgie, disturbi cognitivi, insonnia e fatica) dopo l’aprile 2012, non costituivano più una conseguenza adeguata dell’evento infortunistico occorsogli il 7 maggio 2004. Se ne deduce quindi che l’assicuratore resistente era legittimato a definire il diritto alle prestazioni di lunga durata facendo astrazione da tali disturbi. 2.3. Diritto alla rendita di 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Con la decisione su opposizione impugnata, l’Istituto assicuratore ha negato a RI 1 il diritto a una rendita di invalidità, sostenendo che - tenuto conto dei soli postumi residuali al piede destro e dei disturbi neuro-otologici -, egli sarebbe in grado di riprendere l’esercizio della sua abituale professione di contabile (cfr. doc. 337, p. 9). Tutto ben considerato, questo Tribunale condivide la posizione dell’amministrazione. Del resto, in occasione della visita medica di chiusura del giugno 2008, il dott. __________, spec. FMH in reumatologia, aveva affermato che “dal punto di vista ortopedico nell’attività di contabile non si rilevano particolari limitazioni funzionali e in generale per un’attività di tipo sedentario. Esistono delle limitazioni determinate dal dover salire più volte delle scale o camminare per tempi prolungati. Pertanto nell’occupazione di contabile dal punto di vista ortopedico possiamo considerare una capacità lavorativa completa .” (doc. 195, p. 6 - il corsivo é del redattore). D’altro canto, il dott. __________, spec. FMH in otorinolaringoiatria e in medicina del lavoro, a margine della consultazione del 30 maggio 2007, aveva indicato che, a causa degli acufeni, l’assicurato non era più in grado di esercitare attività comportanti rumore, come pure quelle con elevate esigenze uditive (ad esempio, il docente oppure l’impiegato allo sportello). Sempre secondo lo stesso medico fiduciario dell’CO 1, il disturbo dell’equilibrio limitava il ricorrente in attività con elevato rischio di caduta, in quelle che richiedono movimenti complessi del corpo, soprattutto se su terreno irregolare oppure ancora in quelle da svolgere su macchinari che si muovono velocemente (doc. 155a, p. 4s.). Tenuto conto della natura delle limitazioni descritte dagli specialisti interpellati dall’assicuratore convenuto, il TCA deve concludere per una totale abilità lavorativa nella professione di contabile, donde l’assenza di una qualsiasi perdita di guadagno. La decisione impugnata deve dunque essere confermata anche nella misura in cui l’CO 1 ha negato all’assicurato il diritto alla rendita di invalidità. 2.4. Entità dell’indennità per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Dalle tavole processuali si evince che - per quanto concerne l’aspetto ortopedico -, il reumatologo dott. __________ ha negato che vi fossero i presupposti per versare un’IMI (cfr. doc. 195, p. 7). Dal profilo neuro-otologico, il diritto all’IMI é stato valutato dal dott. __________, il quale, con apprezzamento del 31 maggio 2007, si é espresso in questi termini: " (…). I. Medizinische Beurteilung Bei diesem Patienten bestehen als Folge des vor drei Jahren erlittenen Unfalles im neurootologischen Fachbereich ein Tinnitus, welcher als ein schwerer zu bezeichnen und damit einem Integritätsschaden von 5% entspricht. Im Weiteren besteht eine Störung des Gleichgewichtsfunktionssystems, welche einem Integritätsschaden von 15% entspricht. Im neurootologischen Fachbereich besteht somit ein gesamthafter Integritätsschaden von 20% Die Beurteilung stützt sich auf die Tabellen 13 und 14 der Integritätsschäden sowie auf den neurootologischen Untersuchungsbericht vom 31.05.2007.“ (doc. 155 c) Da parte sua, l’insorgente pretende di aver diritto a un’IMI più elevata, del 65%, sostenendo che l’amministrazione non avrebbe debitamente considerato la gravità complessiva delle sue condizioni di salute (cfr. doc. I, p. 11). 2.4.6.   Questa Corte osserva innanzitutto che le cefalee, le cervicalgie, i disturbi cognitivi, l’insonnia e la fatica non possono fondare un diritto all’IMI, visto che non si tratta di conseguenze dell’infortunio assicurato (cfr. il consid. 2.2.9. in fine). D’altra parte, trattandosi del danno ortopedico e neuro-otologico, chiamato a pronunciarsi su una questione squisitamente medica - vista anche l’assenza di pareri specialistici divergenti -, il TCA ritiene di poter validamente fondare il proprio giudizio sulle valutazioni agli atti dei dottori __________ e __________, i quali hanno quantificato l’IMI in un 20%. La decisione su opposizione deve dunque essere confermata anche per quel che riguarda l'entità dell'IMI.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