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35.2012.61 vom 28. Januar 2013</w:t>
      </w:r>
    </w:p>
    <w:p>
      <w:r>
        <w:t>TI Tribunale d'appello, 2013-01-28, IT</w:t>
      </w:r>
    </w:p>
    <w:p>
      <w:r>
        <w:rPr>
          <w:b/>
        </w:rPr>
        <w:t xml:space="preserve">Quelle: </w:t>
      </w:r>
      <w:r>
        <w:t>https://mcp.opencaselaw.ch/entscheid/ti_gerichte_35.2012.61</w:t>
      </w:r>
    </w:p>
    <w:p>
      <w:r>
        <w:t>FR: TI_GERICHTE 35.2012.61 du 28 janvier 2013</w:t>
      </w:r>
    </w:p>
    <w:p>
      <w:r>
        <w:t>IT: TI_GERICHTE 35.2012.61 del 28 gennaio 2013</w:t>
      </w:r>
    </w:p>
    <w:p>
      <w:pPr>
        <w:pStyle w:val="Heading2"/>
      </w:pPr>
      <w:r>
        <w:t>Regeste</w:t>
      </w:r>
    </w:p>
    <w:p>
      <w:r>
        <w:t>Trauma distorsivo polso dx nello scaricare sacchi di malta, con lesioni legamentarie. Negato un infortunio ai sensi di legge (né movimento scoordinato del corpo né sforzo eccessivo). Negata pure lesione parificata a infortunio, in assenza di fattore esterno ai sensi della giurisprudenza</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2.7.   Nel caso di specie, dall’annuncio d’infortunio del 6 febbraio 2012 si evince che, mentre scaricava dei sacchi, RI 1 si é procurato una distorsione del polso destro (doc. 3). Nel questionario sottopostogli dall’CO 1, egli ha risposto negativamente alla questione si sapere se gli era accaduto qualcosa di particolare, precisando “mentro scaricavo la malta ho stortato il polso” (cfr. doc. 9; analoga descrizione risulta pure dal rapporto 20 febbraio 2012 della dott.ssa __________ - doc. 10). Dal referto 3 marzo 2012 del chirurgo della mano dott. __________ risulta che il ricorrente era “… caduto sul polso a destra, procurandosi una distorsione in iperestensione.” (doc. 13). Sentito nel marzo 2012 da un funzionario dell’CO 1, l’assicurato ha dichiarato che il 23 gennaio 2012 stava scaricando dei sacchi di malta di venticinque chilogrammi dal camioncino per portarli sul montacarichi. “Mentre spostavo uno di questi sacchi con la mano destra e con il braccio allungato ho avvertito un forte dolore al polso destro, alla parte superiore. Avevo sentito anche un rumore all’interno dell’articolazione.”. Egli ha peraltro precisato che “contrariamente a quanto indicato il dott. __________ sul suo rapporto non sono scivolato o caduto.” (doc. 21, p. 2). Infine, in sede di ricorso, RI 1 ha descritto nel seguente modo la dinamica del sinistro del 23 gennaio 2012: “Il signor RI 1 si trovava in piedi sul montacarichi del furgone intento a trasferire i sacchi di malta da 25 kg l’uno sulla carretta posta lateralmente. I sacchi sono di materiale plastico ed in quanto accatastati l’uno sopra l’altro, risultano come incollati. Il signor RI 1, tenendo con le due mani per le “orecchie” (angoli) il sacco posto in cima, ha effettuato un movimento violento verso l’alto per staccare il sacco “incollato” (appiccicato) a quello posto sotto e al contempo ha effettuato un movimento di rotazione/torsione per spostare il sacco sulla carretta posta a lato. Il tutto tenendo il sacco per gli angoli. È in occasione di questo movimento di strappo-sollevamento-rotazione che ha avvertito il rumore all’interno dell’articolazione ed il dolore al polso.” (doc I). Il TCA rileva innanzitutto che può rimanere aperta la questione relativa all’applicabilità del principio giurisprudenziale della “dichiarazione della prima ora”, siccome l’esito della vertenza non potrebbe essere quello che desidera l’insorgente, nemmeno fondandosi sulla descrizione da lui fornita con l’impugnativa. D’altro canto, é accertato che nel caso di specie non vi é stato l’intervento di un fattore causale esterno: il danno alla salute si è infatti manifestato senza che vi sia stato impatto con altre persone o con oggetti.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STFA U 9/04 del 15 ottobre 2004). L’Alta Corte ha negato il carattere infortunistico nel caso di un aiuto infermiere - 36enne, di buona costituzione fisica - che aveva riportato una sindrome vertebrale dorsale in seguito allo spostamento, dal tavolo operatorio al letto, di un paziente del peso di 100-120 kg (cfr. DTF 116 V 136 consid. 3c), mentre lo ha riconosciuto nel caso di una stagista fisioterapista (57 kg) attiva in una casa per anziani che, per evitare l’improvvisa caduta di un paziente (84 kg), non aveva avuto scelta se non quella di intervenire con una sforzo violento e repentino (cfr. STFA U 166/04 del 18 aprile 2005, pubblicata in RtiD 2005 II n. 56 p. 265, citata nella STF 8C_403/2010 del 6 dicembre 2010 consid. 4.1).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Secondo questa Corte, l'ipotesi di uno sforzo manifestamente eccessivo va scartata. L’insorgente - 26 anni al momento dei fatti (doc. 3) -, stava in effetti svolgendo un’operazione strettamente connessa alla sua abituale attività professionale (manovale edile - cfr. doc. 21), la quale di norma prevede proprio il sollevamento/trasporto di carichi. Del resto, dall’esame della giurisprudenza federale emerge che il fatto di sollevare, trasportare o spostare pesi inferiori ai 100 kg - trattandosi di assicurati esercitanti attività manuali - non viene considerato sforzo eccessivo (cfr. STF 8C_319/2009 del 23 ottobre 2009 consid. 3.3 ; A. Bühler, op. cit., p. 241). Si tratta quindi di valutare se il danno al polso destro di RI 1 sia o meno da imputare a un movimento scoordinato o incongruo del corpo. Come già indicato, affinché una lesione corporale dovuta ad un movimento scombinato sia attribuibile ad infortunio ai sensi della LAINF, è necessario che tale movimento si sia prodotto in circostanze esterne manifestamente insolite , impreviste , fuori programma (cfr. A. Maurer, op. cit., p. 176s.). Dalle carte processuali, con riferimento alla versione dei fatti fornita in sede di ricorso (cfr. doc. I), non risulta che in quel frangente si sono presentate delle circostanze esterne manifestamente insolite, impreviste e fuori programma (non può essere ritenuto tale il fatto che il sacco sollevato dall’assicurato aderiva - ma non era certamente incollato nel senso letterale del termine, visto che il sacco era plastica e, quindi, ermetico -, a quello sottostante) , che hanno interrotto oppure interferito nel normale svolgimento del movimento. Ciò é tanto più vero se si considera che é stato l’insorgente stesso, rispondendo alle domande postegli dall’assicuratore, a escludere che fosse successo qualcosa di particolare ( cfr. doc. 9). Il criterio del movimento scoordinato non è, dunque, adempiuto. In esito a quanto precede, questa Corte deve concludere che non sono, in casu , soddisfatte le severe condizioni poste dalla giurisprudenza federale per poter riconoscere il carattere infortunistico a un determinato evento (ciò che d’altronde nemmeno l’insorgente ha preteso). 2.8.   Occorre ancora esaminare se l’obbligo a prestazioni dell’assicuratore infortuni resistente possa essere fondato sull’art. 9 cpv. 2 OAINF, disposizione che parifica a infortunio una serie di lesioni corporali. L’art. 9 cpv. 2 OAINF, nella versione introdotta con la modifica del 15 dicembre 1997, prevede che se non attribuibili indubbiamente a una malattia o a fenomeni degenerativi, le seguenti lesioni corporali, il cui elenco è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la straordinarietà del fattore esterno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l'Alta Corte,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4.2.2).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si veda pure la STF 8C_802/2011 del 2 febbraio 2012 consid. 5.5).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2.9.   Nella fattispecie in esame, é incontestato che a causa del sinistro del gennaio 2012 , l’assicurato ha riportato la rottura di un legamento . RI 1 ha dunque presentato una lesione corporale contemplata all’art. 9 cpv. 2 OAINF, e meglio alla sua lettera g (“ lesioni dei legamenti ” - cfr. il doc. 23). Non resta ora che da valutare se vi é stato l’intervento di un fattore esterno ai sensi della giurisprudenza di cui alla DTF 129 V 466. 2.10.   Si é già detto che, secondo la giurisprudenza federale,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In applicazione di tali principi, la Corte federale ha ad esempio negato l’esistenza di un fattore esterno ai sensi della DTF 129 V 466, trattandosi di un piastrellista, giovane uomo abituato al lavoro pesante, che si era procurato una lesione del legamento crociato anteriore del ginocchio sinistro nel salire i gradini di una casa in costruzione con un pacco di piastrelle fra le mani del peso di circa 25 kg e delle dimensioni di 40 x 40 cm, sottolineando appunto come il trasporto, all'interno di un cantiere, di un pacco di piastrelle di 25 kg e di dimensioni non eccessive rientri nel novero dei procedimenti motori consueti di tale professione e configuri pertanto un atto ordinario non presentante il necessario potenziale di pericolo accresciuto (STFA U 76/03 del 15 aprile 2004). Il TFA ha deciso in questo stesso senso in merito alla richiesta di un'assicurata - alta 156 cm e pesante 75 kg - che, intenta nell'ambito della sua attività professionale abituale a sballare degli elementi da costruzione del peso di 14 kg, aveva riportato una lesione alla schiena. Pur riconoscendo, in considerazione del peso non indifferente dell'elemento per costruzione, l'esistenza di un caso limite, la Corte federale ha infatti respinto il ricorso dell'assicuratore malattia dell'interessata facendo appunto notare che i processi motori nell'ambito dell'abituale attività professionale sono da considerare degli atti quotidiani e non degli eventi assimilabili a infortunio (STFA U 94/03 del 31 ottobre 2003 consid. 3.2). Chiamata ora a pronunciarsi nella concreta evenienza, questa Corte non ravvede nella descrizione dell’accaduto contenuta nell’impugnativa, nulla che sia andato oltre a quelli che sono i normali processi motori richiesti dall’esercizio dell’abituale attività professionale dell’assicurato. RI 1 é un giovane adulto, ventiseienne al momento del sinistro e, dunque, nel pieno delle forze, abituato, in quanto manovale edile, a svolgere attività pesanti, in particolare a trasportare pesi. Tenuto conto di queste circostanze, il fatto di sollevare con uno strattone un sacco di materiale plastico pesante 25 kg, afferrandolo agli angoli con le due mani, e di riporlo sulla carretta posta a lato della pila mediante un movimento di rotazione del tronco e delle braccia, non può essere qualificato quale avvenimento in cui é insito un certo potenziale di pericolo accresciuto ai sensi della giurisprudenza appena citata. Nemmeno da questo profilo può quindi essere riconosciuta la responsabilità dell’amministrazione. 2.11. In conclusione, il TCA non può che confermare la decisione su opposizione impugnata, mediante la quale l’CO 1 ha negato ab initio il proprio obbligo a prestazioni in relazione al sinistro del gennaio 2012, il quale di per sé non costituisce né un infortunio ai sensi dell’art. 4 LPGA, né un avvenimento parificabile a infortunio secondo l’art. 9 cpv. 2 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