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35.2012.55 vom 29. April 2013</w:t>
      </w:r>
    </w:p>
    <w:p>
      <w:r>
        <w:t>TI Tribunale d'appello, 2013-04-29, IT</w:t>
      </w:r>
    </w:p>
    <w:p>
      <w:r>
        <w:rPr>
          <w:b/>
        </w:rPr>
        <w:t xml:space="preserve">Quelle: </w:t>
      </w:r>
      <w:r>
        <w:t>https://mcp.opencaselaw.ch/entscheid/ti_gerichte_35.2012.55</w:t>
      </w:r>
    </w:p>
    <w:p>
      <w:r>
        <w:t>FR: TI_GERICHTE 35.2012.55 du 29 avril 2013</w:t>
      </w:r>
    </w:p>
    <w:p>
      <w:r>
        <w:t>IT: TI_GERICHTE 35.2012.55 del 29 aprile 2013</w:t>
      </w:r>
    </w:p>
    <w:p>
      <w:pPr>
        <w:pStyle w:val="Heading2"/>
      </w:pPr>
      <w:r>
        <w:t>Regeste</w:t>
      </w:r>
    </w:p>
    <w:p>
      <w:r>
        <w:t>Assicurato vittima di 2 infortuni con frattura calcagno sx., risp. rottura cuffia rotatoria dx. Valutazione del grado dell'invalidità e del diritto all'IMI</w:t>
      </w:r>
    </w:p>
    <w:p>
      <w:pPr>
        <w:pStyle w:val="Heading2"/>
      </w:pPr>
      <w:r>
        <w:t>Erwägungen</w:t>
      </w:r>
    </w:p>
    <w:p>
      <w:r>
        <w:rPr>
          <w:b/>
        </w:rPr>
        <w:t>E. 18</w:t>
      </w:r>
    </w:p>
    <w:p>
      <w:r>
        <w:t>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A margine della visita medica di chiusura del 5 agosto 2011, il dott. __________, spec. FMH in chirurgia ortopedica - diagnosticata una sindrome algica cronica spalla/braccio destra (su stato dopo ricostruzione artroscopica della cuffia rotatoria, tenotomia e tenodesi del capo-lungo del bicipite brachiale e dopo débridement della lesione Slap I e acromioplastica), nonché una sindrome cronica algica al retro-piede sinistro su infiammazione cronica dei tessuti molli retro-/infero malleolare mediale -, ha definito come segue l’esigibilità lavorativa: " (…). L’assicurato può sollevare e portare fino all’altezza dei fianchi pesi molto leggeri fino a 5 kg senza limitazioni, pesi leggeri da 5 a 10 kg senza limitazione, pesi medi da 10 a 25 kg molto spesso, pesi pesanti da 25 a 45 kg talvolta e pesi molto pesanti oltre i 45 kg di rado. Nessuna limitazione per sollevare pesi oltre l’altezza del petto. Il maneggio di attrezzi leggeri, risp. lavori di precisione sono possibili senza limitazioni, il maneggio di attrezzi medi senza limitazione, maneggio di attrezzi pesanti, rispettivamente lavoro manuale rozzo possibili spesso, maneggio di attrezzi molto pesanti possibile sono di rado. Nessuna limitazione per quanto riguarda la rotazione della mano. L’assicurato può eseguire lavori sopra la testa senza limitazione. Nessuna limitazione per la rotazione del tronco. L’assicurato può assumere la posizione seduta inclinata in avanti come anche la posizione in piedi/inclinata in avanti senza limitazione. L’assicurato può assumere la posizione inginocchiata molto spesso, nessuna limitazione per la flessione delle ginocchia. L’assicurato può assumere la posizione seduta di lunga durata senza limitazione. L’assicurato può assumere la posizione di lunga durata in piedi solo talvolta. L’assicurato può camminare fino a 50 metri senza limitazione, può camminare oltre i 50 metri molto spesso, può camminare per lunghi tratti solo talvolta. L’assicurato può camminare su terreno accidentato solo di rado. Salire le scale molto spesso, salire su scale a pioli possibile spesso. Uso delle due mani possibile senza limitazione.” (doc. 230, p. 6) Sempre in quella sede, il medico __________ dell’CO 1 - a livello della spalla destra -, ha refertato un “… minimo deficit dell’abduzione (…) di circa 10° a causa di dolori soggettivi, Esame obiettivo clinico blando. Nessun segno di risparmio dell’arto superiore destro con buon trofismo muscolare simmetrico del cingolo scapolare e degli arti superiori. Non si evidenzia una lesione strutturale a livello della spalla destra che potrebbe spiegare la persistente sintomatologia algica.”. Egli ha quindi concluso che “… per le sole conseguenze post-infortunistiche a livello della spalla destra l’assicurato é considerato abile al lavoro in misura completa in qualità di carrozziere.”. A proposito del piede sinistro , il dott. __________ ha rilevato che “a causa dell’infiammazione cronica mediale al retro piede sinistro resistente a tutti i trattamenti finora eseguiti, una lieve limitazione funzionale persisterà probabilmente a lungo termine e a causa delle conseguenze post-operatorie e quindi post-infortunistiche una ripresa dell’attività lavorativa svolta prima dell’infortunio in misura completa é incerta e non esigibile. Come proposto dall’operatore e perito prof. __________, é da prevedere adattamento dell’attività lavorativa alla patologia del piede sinistro.” (doc. 230, p. 5). Posteriormente all’inoltro della causa, RI 1 si é sottoposto a ulteriori accertamenti. La RMN del piede sinistro ha evidenziato un modesto versamento peritendineo a livello del tibiale posteriore e segni di tendinite del tendine estensore del pollice. (doc. C 3). L’ecografia della spalla destra ha mostrato in particolare delle alterazioni interessanti il tendine del sovraspinato e di quello del sottoscapolare, in assenza di rotture della cuffia rotatoria (cfr. doc. C 2). Infine, l’esame di risonanza magnetica del ginocchio destro ha posto in luce una “… millimetrica alterazione strutturale in sede sottocorticale sul versante anteriore della diafisi femorale distale in sede mediale, compatibile in prima ipotesi con verosimile fibroma non ossificante …” nonché delle “… minime alterazioni di segnale a carattere degenerativo (lesione di 1° grado) al corno posteriore del menisco mediale senza segni di fessurazione.”, il tutto in assenza di “… alterazioni di segnale a carattere post-traumatico ai vari segmenti ossei.” (doc. D 1). Con relazione medicolegale del 28 novembre 2012, il dott. __________, spec. in medicina legale e delle assicurazioni a __________, ha rimproverato al medico __________ dell’CO 1 di avere  valutato l’esigibilità lavorativa considerando unicamente i postumi residuali localizzati al piede sinistro, quando invece gli accertamenti compiuti nel frattempo hanno consentito di oggettivare problemi anche a livello della spalla e del ginocchio destro. A suo avviso, tenuto conto di tutto ciò, l’assicurato é limitato “… nel disbrigo di qualsivoglia attività che richiedono protratta deambulazione o mantenimento della stazione eretta, ed il sollevamento o spostamento di pesi anche relativamente modesti.” (doc. D 2, p. 10). Con il complemento dell’11 febbraio 2013, lo specialista privatamente consultato dall’assicurato ha ribadito che “le effettive mansioni attualmente espletabili non corrispondono più a quanto ipotizzato il 04.06.12 (certamente risultando precluse le attività di aiuto montatore elettricista industriale, operaio di fabbrica, venditore magazziniere). Si tratta di soggetto al più utilizzabile in attività di tipo prevalentemente sedentario, risultando limitato sia nella statica (mantenimento della posizione eretta) che nella dinamica (deambulazione prolungata, spostamenti su scale, per i problemi agli arti inferiori) con severa riduzione anche nella reiterata movimentazione di materiali (per le sequele alla spalla destra).” (doc. E, p. 3). In corso di causa, il TCA ha chiesto al medico __________ dell’RI 1 di prendere posizione sul contenuto dei rapporti allestiti dal dott. __________, in particolare per quanto riguarda la correlazione tra i reperti evidenziati dall’ecografia della spalla destra del settembre 2011 e la sintomatologia denunciata dall’insorgente, nonché l’eziologia dei disturbi al ginocchio destro (cfr. doc. XVII). Con rapporto del 1° marzo 2013, la dott.ssa __________, spec. FMH in chirurgia ortopedica, per quanto concerne il ginocchio destro , ha negato l’esistenza di un legame causale indiretto tra le alterazioni mostrate dalla RMN del 13 settembre 2012 e l’evento traumatico che ha interessato il piede sinistro (allegato al doc. XX, p. 3: “Tali alterazioni descritte non possono essere messe in relazione causale con i disturbi del piede sinistro. Inoltre un assottigliamento di un legamento crociato anteriore non é mai espressione di un sovraccarico per deambulazione monopodolica.”). In merito all’ecografia della spalla destra del 5 settembre 2012, il medico __________ ha spiegato che i relativi reperti corrispondono agli esiti dell’artroscopia effettuata il 23 febbraio 2009 con ricostruzione della cuffia rotatoria e tenotomia/tenodesi del capo lungo del bicipite per rottura dell’intervallo e per rottura craniale del sottoscapolare come pure per tendinopatia del capo lungo del bicipite, per cui essi “… non sono di rilevanza patologica, ma pura espressione di cicatrizzazione regolare dopo tale intervento.” (allegato al doc. XX, p. 4). Questa la sua conclusione: " (…). In conclusione posso confermare che i due rapporti del dott. __________ non contengono elementi suscettibili a modificare le conclusioni contenute nel rapporto del 10.08.2011 del dott. __________. In particolare i reperti evidenziati dall’ecografia della spalla destra correlano esattamente con gli esiti dell’intervento del 23.02.2009 e raffigurano la cicatrizzazione non patologica delle strutture operate. Come sopra descritto, i disturbi al ginocchio destro non sono da mettere in relazione con l’infortunio del 26.01.2004, basandomi sia sulla RM del ginocchio destro del 23.11.2012 sia sulla scienza di una medicina basata sulle evidenze.” (allegato al doc. XX, p. 4) 2.3.4.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2.3.5.   Chiamato a pronunciarsi, questo Tribunale considera che, dal punto di vista medico, il caso di specie sia compiutamente delucidato grazie, in particolare, al rapporto 10 agosto 2011 del chirurgo ortopedico dott. __________ (doc. 230) e alle precisazioni fornite in corso di causa dalla dott.ssa __________ (allegato al doc. XX), e che non si debba perciò procedere a ulteriori atti istruttori. Il ricorrente, e per esso il dott. __________, nega che al rapporto relativo alla visita medica di chiusura del 5 agosto 2011 possa essere riconosciuto pieno valore probatorio, nella misura in cui la valutazione dell’esigibilità lavorativa del dott. __________ ivi contenuta, é stata formulata omettendo di considerare lo stato della spalla destra, in particolare i reperti emersi dall’esame ecografico del settembre 2012, e del ginocchio destro (cfr. doc. D 2 e doc. E). Tutto ben considerato, il TCA ritiene che le obiezioni sollevate dallo specialista consultato dall’assicurato, non siano suscettibili di mettere in discussione l’affidabilità delle conclusioni a cui é giunto il medico di circondario dell’CO 1. Innanzitutto, per quanto riguarda la spalla destra , se é vero che l’ecografia effettuata nel mese di settembre 2012 ha evidenziato la presenza di alterazioni a livello dei tendini sovraspinato e sottoscapolare (cfr. doc. C 2), la dott.ssa __________ ha spiegato, in maniera convincente, che tali reperti corrispondono alla cicatrizzazione non patologica delle strutture operate in data 23 febbraio 2009 (allorquando l’insorgente era stato in effetti sottoposto a un intervento di ricostruzione della cuffia rotatoria della spalla destra, che aveva interessato proprio i tendini dei muscoli sovraspinato e sottoscapolare - cfr. doc. 152 - fasc. 1 X). D’altro canto, occorre segnalare che, secondo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(fra le tante, cfr. STFA U 347/01 del 9 gennaio 2003 e U 429/00 del 13 marzo 2001). In questo contesto, non può essere ignorato che, in data 12 agosto 2009, il Prof. dott. __________, spec. FMH in chirurgia ortopedica e traumatologia, autore dell’intervento artroscopico del febbraio 2009, aveva dichiarato l’assicurato abile al lavoro in misura del 50%, prevedendo una ripresa completa a decorrere dall’ottobre 2009 (cfr. doc. 187). Al termine della degenza presso la Clinica __________ (24 novembre -12 dicembre 2009), i sanitari avevano constatato che l’evoluzione della spalla destra era “… ottima con ulteriore e netto miglioramento, ora la mobilità é praticamente nella norma ed il paziente accusa solo ancora una minima dolenza a livello anteriore in corrispondenza del tendine lungo del bicipite e solo sotto sforzo.” (doc. 206, p. 2 - fasc. 4). A margine della consultazione dell’8 marzo 2011, a fronte dei disturbi fatti valere dall’assicurato nella regione della spalla, rispettivamente dell’arto superiore destro, il Prof. __________ aveva sottolineato di non aver potuto individuare un chiaro sostrato anatomico-patologico (cfr. doc. 223 - fasc. 4). Infine, anche il dott. __________ si era espresso in questo senso, in occasione della visita __________ di controllo del 20 aprile 2011 (cfr. doc. 226, p. 4 - fasc. 4: “Come già constatato dal prof. __________ non si riscontra una patologia anatomica strutturale a livello della spalla destra che potrebbe spiegare la persistente sintomatologia algica e quindi ulteriori misure terapeutiche non possono essere proposte.”; si veda pure il doc. 230, p. 5 - fasc. 4 - il corsivo é del redattore). Alla luce di tutto quanto precede, appare plausibile l’affermazione del dott. __________ secondo la quale - tenuto conto del solo stato oggettivabile della spalla destra -, RI 1 sarebbe persino in grado di riprendere l’esercizio della professione di carrozziere (e, pertanto, a maggior ragione, di un’attività più leggera, adeguata ai postumi infortunistici interessanti l’arto inferiore sinistro). Trattandosi del ginocchio destro , a prescindere dalla circostanza che la RMN del 23 novembre 2012 non ha evidenziato rotture interessanti le strutture esaminate (nel relativo referto si legge in effetti che il LCA appare assottigliato “ senza segni di interruzione di significato contingente di fibre ” e che il corno posteriore del menisco mediale presenta minime alterazioni degenerative “ senza segni di fissurazione ” - cfr. doc. D 1), per cui é senz’altro lecito interrogarsi circa la loro effettiva rilevanza clinica, la dott.ssa __________, appositamente interrogata in proposito dal TCA, si é scostata dalla tesi secondo la quale i reperti in questione costituirebbero una conseguenza indiretta (nel senso che sarebbero stati causati da una deambulazione viziata determinata dal danno al piede sinistro) dell’evento del 26 gennaio 2004 (cfr. allegato al doc. XX). Del resto, lo stesso medico radiologo, riferendosi allo stato del LCA, ha indicato che il suo assottigliamento é compatibile con degli “esiti distrattivi”, dunque con gli esiti di una distorsione del ginocchio (non imputabile all’infortunio del gennaio 2004, nel quale non risulta sia rimasto in qualche modo coinvolto l’arto inferiore destro - cfr. doc. 6 - fasc. 3), ciò che avvalora il parere del medico __________, secondo il quale non é possibile addebitare l’assottigliamento di un legamento crociato anteriore a un sovraccarico per deambulazione monopodolica (cfr. allegato al doc. XX). Se ne deduce che la valutazione dell’esigibilità lavorativa deve avvenire facendo astrazione dai disturbi che RI 1 denuncia al ginocchio destro. In esito a quanto precede, occorre dunque concludere che, alternativamente alla precedente professione di carrozziere, il ricorrente sarebbe pienamente in grado di esercitare un’attività fisicamente medio-leggera dal profilo del sollevamento/trasporto di pesi e del maneggio di attrezzi, da svolgere in posizione prevalentemente seduta e che non comporti la necessità di camminare né terreno accidentato né su lunghi tratti.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2.3.6. Si tratta ora di valutare le conseguenze economiche del danno alla salute infortunistico. Per quanto concerne il reddito da valido , secondo l’CO 1, l'insorgente avrebbe guadagnato nel 2011, qualora non fosse rimasto vittima degli infortuni assicurati, un importo annuo di fr. 64'211 (cfr. doc. 304 - fasc. 6). Questo dato, non contestato e desunto da informazioni fornite direttamente dal datore di lavoro (cfr. doc. 303 - fasc. 6), può senz’altro essere fatto proprio dal TCA. 2.3.7.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2.3.8. Per determinare il reddito ancora esigibile dall'assicurato, l'assicuratore LAINF convenuto ha compiuto in sede amministrativa degli accertamenti presso alcune aziende ticinesi. Dai medesimi risulta che nelle attività sostitutive che l'assicurato sarebbe in grado di esercitare tenuto conto dei postumi residuali che interessano l’arto inferiore sinistro, e meglio il raffilatore presso la __________ di __________, l’aiuto montatore elettricista presso la __________ di __________, il preparatore di cioccolata presso la ____________________, l’operatore meccanico presso la ____________________ e il venditore magazziniere presso la __________di __________, i dipendenti di tali ditte percepivano in media, nel 2011, un reddito annuo pari a fr. 53'765.40 (doc. 296 - fasc. 6).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296 si evince che sono 66 i posti di lavoro che entrano in considerazione, che i salari minimo e massimo ammontano, rispettivamente, a fr. 33’799 e a fr. 71'016, e infine che quello medio è di fr. 52'182. Il TCA constata che il valore considerato dall’assicuratore LAINF convenuto (fr. 53'765.40) è superiore del 2.94% rispetto alla media dei salari medi (fr. 52'182). In base alla giurisprudenza federale,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dell’CO 1 secondo la quale sono di principio tollerati scostamenti sino al 10% ). In conclusione - assodato che i cinque posti di lavoro segnalati dall’amministrazione rispettano le limitazioni funzionali descritte nella documentazione medica agli atti, aspetto riguardo al quale l’insorgente non ha d’altronde sollevato alcuna specifica obiezione (cfr. STF 8C_285/2010 del 6 settembre 2010) -, il reddito da invalido è stato validamente determinato in base alle DPL. Esso ammonta a fr. 53'765.40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53'765.40 al reddito che egli avrebbe potuto conseguire se non fosse intervenuto il danno alla salute, e cioè fr. 64'211 (cfr. consid. 2.3.6.) - è del 16.26%, arrotondato al 16%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con la decisione su opposizione impugnata, l’CO 1 ha riconosciuto a RI 1 una rendita di invalidità proprio del 16%, il suo ricorso deve essere respinto su questo punto. È ancora utile segnalare che, da parte dell’assicurazione per l’invalidità, l’assicurato é stato posto al beneficio di una rendita intera dal 1° maggio 2008, di mezza rendita dal 1° ottobre 2009 e, nuovamente, di una rendita intera dal 1° gennaio 2010 limitatamente al 30 novembre 2011, data in cui il relativo diritto é stato dichiarato estinto, ritenuto un grado d’invalidità del 16% (cfr. allegati al doc. 284 - fasc. 6). Riguardo al rimprovero che il ricorrente muove all’Istituto assicuratore di non aver adeguatamente approfondito la questione di una sua riqualifica professionale (cfr. doc. I, p. 2), questa Corte si limita a rilevare che la LAINF non prevede l’erogazione di provvedimenti d’integrazione (cfr. Meyer-Blaser, Die Tragweite des Grundsatzes "Eingliederung vor Rente" in: Rechtsfragen der Eingliederung Behinderter, San Gallo 2000 p. 19; Omlin, Die Invalidität in der obligatorischen Unfallversicherung, tesi Friborgo 1995, p. 199). 2.4. Diritto all’indennità per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L’assicuratore LAINF resistente, sentito il parere del proprio medico __________ __________, ha negato al ricorrente il diritto all’IMI (cfr. doc. 317, p. 7 - fasc. 6). In occasione della visita medica di chiusura del 5 agosto 2011, il dott. __________, spec. FMH in chirurgia ortopedica, ha dichiarato che, né a livello della spalla destra né a quello del piede sinistro, RI 1 presenta una menomazione all’integrità di una gravità tale da fondare il diritto a un’indennità ex art.</w:t>
      </w:r>
    </w:p>
    <w:p>
      <w:r>
        <w:rPr>
          <w:b/>
        </w:rPr>
        <w:t>E. 24</w:t>
      </w:r>
    </w:p>
    <w:p>
      <w:r>
        <w:t>cpv. 1 LAINF (cfr. doc. 230, p. 5 - fasc. 4). Con la propria impugnativa, l’insorgente rimprovera all’CO 1 di non avere fornito “… indicazioni sul calcolo effettuato per la valutazione della percentuale indicata nella decisione.” (doc. I, p. 2). Da parte sua, il dott. __________, nella relazione medicolegale del 28 novembre 2012, non é andato oltre l’affermare che la richiesta di un’IMI é motivata, “… stante la sussistenza di una “menomazione permanente e notevole dell’integrità fisica” conseguente alle polimenomazioni in atto.” (doc. D 2, p. 11). Chiamato a pronunciarsi, il TCA sottolinea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Ai fini della determinazione dell’IMI, occorre perciò fare astrazione dai disturbi soggettivamente accusati dall’assicurato che non trovano correlazione sul piano oggettivo . In effetti, se si tenesse conto di disturbi (soltanto) soggettivamente risentiti, non si giungerebbe più a una valutazione astratta e egualitaria di una menomazione all’integrità. Tenuto conto del principio appena menzionato - posto che i disturbi fatti valere dall’assicurato alla spalla destra non hanno trovato correlazione sul piano oggettivo (cfr., su questo aspetto, il consid. 2.3.5.) -, é a ragione che il medico __________ ha negato, a quel livello, l’esistenza di una menomazione importante all'integrità fisica. Trattandosi invece del piede sinistro , il TCA osserva che l’esame PET del 24 giugno 2011 ha consentito di oggettivare soltanto dei reperti giudicati compatibili con il sospetto clinico di un’infiammazione cronica del tendine del flessore lungo dell’alluce, in assenza di segni di artrosi (cfr. doc. 266 - fasc. 5: “Non patologici iperaccumuli del tracciante a livello delle ulteriori strutture osteo-legamentarie e muscolo-tendinee del piede sinistro.”; in questo senso, si vedano pure gli esiti dell’esame di RMN del 13 settembre 2012 - doc. C 3). Pertanto, anche per quanto riguarda l’estremità inferiore sinistra, appare plausibile il parere del dott. __________, il quale ha negato che  fossero date le premesse per assegnare un’IMI. In conclusione, la decisione su opposizione impugnata merita tutela anche nella misura in cui all’insorgente é stata rifiutata l’IMI.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