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35.2012.52 vom 13. Dezember 2012</w:t>
      </w:r>
    </w:p>
    <w:p>
      <w:r>
        <w:t>TI Tribunale d'appello, 2012-12-13, IT</w:t>
      </w:r>
    </w:p>
    <w:p>
      <w:r>
        <w:rPr>
          <w:b/>
        </w:rPr>
        <w:t xml:space="preserve">Quelle: </w:t>
      </w:r>
      <w:r>
        <w:t>https://mcp.opencaselaw.ch/entscheid/ti_gerichte_35.2012.52</w:t>
      </w:r>
    </w:p>
    <w:p>
      <w:r>
        <w:t>FR: TI_GERICHTE 35.2012.52 du 13 décembre 2012</w:t>
      </w:r>
    </w:p>
    <w:p>
      <w:r>
        <w:t>IT: TI_GERICHTE 35.2012.52 del 13 dicembre 2012</w:t>
      </w:r>
    </w:p>
    <w:p>
      <w:pPr>
        <w:pStyle w:val="Heading2"/>
      </w:pPr>
      <w:r>
        <w:t>Regeste</w:t>
      </w:r>
    </w:p>
    <w:p>
      <w:r>
        <w:t>Decisione con la quale l'assicuratore infortuni ha attribuito all'assicurato una rendita di invalidità del 15%,negandogli il diritto ad un'IMI,è corretta e va confermata dal TCA</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con la decisione impugnata, l’assicuratore LAINF ha attribuito all’assicurato una rendita di invalidità del 15%. Esso ha in effetti sostenuto che, svolgendo un’attività lavorativa adeguata al suo stato di salute, il ricorrente potrebbe conseguire un reddito di fr. 49'943, che raffrontato al reddito da lui percepito da valido presso la ditta __________, di fr. 58'927.70, porta ad un grado di invalidità del 15%. Il TCA osserva che, nella fattispecie, l’esigibilità lavorativa, dal profilo medico, è stata valutata dal dr. __________, specialista FMH in chirurgia generale e della mano. In occasione della visita medica __________ del 21 novembre 2011, lo specialista in questione, poste le diagnosi di “infortunio professionale del 3.4.2010 con epicondilite omero radiale gomito destro con lesione parziale del tendine estensore comune delle dita accompagnato da una sindrome del supinatore. In data 24.11.2010 intervento chirurgico di denervazione epicondilo omero radiale gomito destro secondo Wilhelm e Hohman, operatore dr. __________, specialista chirurgia della mano FMH”, si è così espresso in merito alla capacità, rispettivamente all’esigibilità lavorativa: " (…) Come evidenziato anche durante la degenza alla Clinica di __________ dal 14.09.2011 al 12.10.2011, l’attività di manovale e muratore non è più fattibile ed esigibile. È stata espressa nell’ambito della degenza l’esigibilità lavorativa, l’assicurato può lavorare in un lavoro leggero e medio lungo tutto l’arco della giornata e in misura completa. L’esigibilità lavorativa concernente gli esiti post-traumatici del gomito destro viene sotto espressa. Capacità lavorativa nella misura massima possibile dal 1.12.2011. Esigibilità lavorativa: l’assicurato può sollevare e portare pesi molto leggeri fino a 5 kg fino all’altezza dei fianchi, fra i 5 e i 10 kg fino all’altezza dei fianchi senza limitazione, pesi medi fra i 10 e i 25 kg fino all’altezza dei fianchi spesso, pesi fra i 25 kg e i 45 kg fino all’altezza dei fianchi mai, pesi molto pesanti oltre 45 kg fino all’altezza dei fianchi mai. Con le limitazioni sovraesposte può sollevare pesi oltre l’altezza del petto fino e oltre i 5 kg. Maneggio di attrezzi leggeri e di precisione medi senza limitazione, lavoro pesante e manuale rozzo di raro, molto pesante mai, nessun problema di rotazione della mano, non esecuzione di movimenti ripetitivi di estensione e flessione o prono supinazione all’avambraccio, gomito destro. Posizione e mobilità: lavori sopra la testa, di rotazione del tronco, di posizione seduta e inclinata in avanti e in piedi e inclinata in avanti possibile senza limitazione, senza limitazione pure la posizione inginocchiata e di flessione delle ginocchia. Posizione di lunga durata seduta e in piedi o a libera scelta possibile senza limitazioni. Non problemi nello spostamento. Uso delle due mani con le limitazioni sovraesposte, nessun problema di equilibrio o stare in equilibrio. Lo stato clinico attuale del gomito destro dominante non dà diritto ad una IMI.” (doc. 149, p. 7s.) Agli atti figura pure la valutazione del 18 ottobre 2011 eseguita dal __________, medico assistente e dalla dr.ssa __________, spec. FMH in chirurgia della __________, dove l’assicurato è rimasto degente dal 14 settembre 2011 fino al 12 ottobre 2011, attestante una totale incapacità lavorativa dell’interessato nella sua precedente attività, pesante, di manovale, ma una piena capacità lavorativa in attività adeguate rispettose dei suoi limiti funzionali (cfr. doc. 138 pag. 4). 2.3.4.   In sede di ricorso, l’assicurato ha sostenuto che, contrariamente al parere dell’Istituto assicuratore, egli non sarebbe in grado di svolgere un’attività lavorativa adatta nella misura del 100%, alla luce del referto del dr. __________, specialista in medicina legale e delle assicurazioni di __________, il quale, nel referto del 4 aprile 2012, ha rilevato che “il quadro anatomo disfunzionale oggi in atto a livello dell’arto superiore destro configura un tasso di invalidità dell’ordine del 50%, quindi determinante il riconoscimento della relativa rendita” (cfr. doc. A3). In sede di risposta di causa, l’assicuratore infortuni, dopo avere rilevato che “non incombe affatto al medico bensì all’amministrazione di determinare il tasso di rendita, trattandosi di un concetto economico”, ha aggiunto che il dr. __________ non ha spiegato per quali motivi egli ritenga che “i postumi infortunistici non permetterebbero all’assicurato di svolgere un’attività idonea in misura completa, fermo restando che l’interessato è stato riconosciuto abile al lavoro sull’arco dell’intera giornata anche dai medici della __________ al termine di un soggiorno stazionario” (doc. III). Il TCA condivide queste considerazioni dell’Istituto assicuratore. A mente del TCA, infatti, la valutazione, per quanto concerne l’esigibilità lavorativa, sul mercato generale del lavoro, fornita dal dr. __________ - per il quale l’assicurato sarebbe in grado di svolgere un’attività lavorativa che gli consenta, in particolare, di risparmiare il braccio destro dominante (cfr. doc. 149, p. 7) - può validamente costituire da base al giudizio che è ora chiamato a rendere. Questa conclusione si giustifica tanto più se si considera che la stessa, come visto in precedenza (cfr. consid. 2.3.3.), trova conferma anche nell’apprezzamento fornito dai medici di __________, i quali, al termine di un soggiorno stazionario, hanno considerato l’assicurato pienamente abile al lavoro in attività adeguate, rispettose dei suoi limiti funzionali (doc. 138). Al proposito, va rilevato che quanto sostenuto dal medico di fiducia dell’amministrazione trova, del resto, conforto nei precedenti giurisprudenziali riportati qui di seguito.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Infine,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Alla luce di quanto precede, è dunque lecito concludere che il ricorrente - dal profilo medico - sarebbe in grado di svolgere, a tempo pieno e con un rendimento completo, un’attività lavorativa leggera e media, nel cui esercizio l’arto superiore destro non debba essere sottoposto a particolari carichi. È peraltro utile aggiungere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Inoltre, secondo questo Tribunale, le limitazioni funzionali derivanti dal danno alla salute infortunistico non rendono irrealistica la possibilità di reperire, sul mercato generale del lavoro, delle opportunità di impiego. In una sentenza 8C_94/2012 del 29 marzo 2012 consid. 3.2, il Tribunale federale ha infatti confermato che anche per gli assicurati che possono utilizzare un solo braccio , il mercato del lavoro offre un ventaglio di attività sufficientemente ampio: " Die Gerichtspraxis geht davon aus, dass der ausgeglichene Arbeitsmarkt für Personen, welche funktionell als Einarmige zu betrachten sind und überdies nur noch leichte Arbeiten verrichten können, genügend realistische Betätigungsmöglichkeiten bietet . Zu denken ist etwa an einfache Überwachungs-, Prüf- und Kontrolltätigkeiten sowie an die Bedienung und Überwachung von (halb-) automatischen Maschinen oder Produktionseinheiten, die nicht den Einsatz beider Arme und beider Hände voraussetzen (vgl. Urteile 8C_207/2009 vom 8. September 2009 E. 3.2 und 8C_635/2007 vom 27. August 2008 E. 4.2 mit Hinweisen). Solche Arbeitsstellen bestehen auch in produktionsnahen Betrieben, weshalb sich eine Einschränkung des in Betracht zu ziehenden Arbeitsmarktes auf den Dienstleistungssektor nicht aufdrängt. " (il corsivo è della redattrice) Infine, a proposito dei referti della dr.ssa __________ (doc. B1) e della dr.ssa __________ (doc. C), prodotti in corso di causa e attestanti l’insorgenza di un disagio a livello psicologico, il TCA rileva che, come del resto indicato dallo stesso rappresentante dell’interessato (cfr. doc. V) e ribadito dall’Istituto assicuratore (cfr. doc. VII), gli stessi andranno analizzati nell’ambito dell’annuncio di ricaduta preannunciato nello scritto del 12 settembre 2012. 2.3.5. Si tratta ora di valutare le conseguenze economiche del danno alla salute infortunistico. Quanto al reddito da valido , secondo l’assicuratore infortuni resistente, senza il danno alla salute, RI 1, nel 2012, lavorando per la __________ , avrebbe realizzato un guadagno annuo lordo pari a fr. 58'927.70 (fr. 4’532.90 x 13 mensilità, cfr. doc. 193). Questo dato, non contestato e desunto dalle informazioni fornite direttamente dal datore di lavoro (cfr. doc. 191), può senz’altro essere fatto proprio dal TCA. 2.3.6.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in particolare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2.3.7. Nel caso in esame, per determinare il reddito ancora esigibile dall'insorgente, l'assicuratore LAINF resistente ha compiuto in sede amministrativa degli accertamenti presso cinque aziende ticinesi. L’CO 1 ha indicato che dai medesimi risulta che nelle attività leggere che il ricorrente sarebbe in grado di esercitare tenuto conto dei postumi infortunistici residuali - e meglio l’operaio di magazzino presso la __________ di __________, l’aiuto stampatore presso la __________, l’addetto alla sorveglianza presso la __________, il raffilatore presso la __________, il preparatore di cioccolata presso la __________ - i dipendenti di tali ditte percepivano in media, nel 2012, un reddito annuo pari a fr. 49'943.00 (cfr. doc. 193). D’altro canto, sempre in conformità alla giurisprudenza evocata sopra, l'assicuratore infortuni ha fornito informazioni sul numero globale dei posti di lavoro che entrano in linea di conto alla luce degli impedimenti presentati dall'assicurato, sul salario massimo e minimo, così come sul salario medio. In effetti, dalla tabella prodotta in allegato al doc. 193 si evince che sono 112 i posti di lavoro che entrano in considerazione, che i salari minimo e massimo ammontano, rispettivamente, a fr. 33’7997.-- e a fr. 69’290.--, e infine che quello medio è di fr. 49’059.--. Il TCA constata che il valore considerato dall’assicuratore LAINF convenuto (fr. 49'943) è superiore dell’1.8% rispetto alla media dei salari medi (fr. 49’059). In base alla giurisprudenza federale,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dell’CO 1 secondo la quale sono di principio tollerati scostamenti sino al 10% ). In conclusione - assodato che i cinque posti di lavoro segnalati dall’amministrazione rispettano le limitazioni funzionali descritte nella documentazione medica agli atti - il reddito da invalido è stato validamente determinato in base alle DPL. Esso ammonta a fr. 49'943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49'943 al reddito che egli avrebbe potuto conseguire se non fosse intervenuto l’infortunio, e cioè fr. 58'927.70 (cfr. consid. 2.3.5.) - è del 15.25%, arrotondato al 15%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con la decisione su opposizione impugnata, l’CO 1 ha riconosciuto a RI 1 una rendita di invalidità proprio del 15%, il suo ricorso deve essere respinto. 2.4. Diritto all’indennità per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sulla base della valutazione del 21 novembre 2011 del dr. __________, ha negato all’assicurato il diritto a un’IMI, in quanto egli non presenta un danno all’integrità del 5% almeno (cfr. allegato a doc. I). L’insorgente ha chiesto, dal canto suo, il riconoscimento di un’IMI (cfr. doc. I) In sede di opposizione, il dr. __________, spec. FMH in chirurgia ortopedica e traumatologia dell’apparato locomotore, ha rilevato che: " (…) Dal signor RI 1, durante l’ultima visita, sono stati constatati: - un lieve deficit dell’estensione del dito III della mano destra, in miglioramento; - un perimetro massimo dell’avambraccio destro di un centimetro inferiore al contro laterale; - un deficit di flessione attiva di 22° del gomito destro rispetto al contro laterale; - uno stato doloroso, diffuso e fluttuante; - dei disturbi non sistematizzati della sensibilità, senza sostrato neurologico evidenziato. Anche sommati, i disturbi presentati attualmente dall’assicurato al gomito destro, in esiti d’intervento di cura d’epicondilite tramite denervazione secondo Wilhelm, non raggiungono la soglia indennizzabile del 5% (vedi All. 3 OLAINF). Prima di spiegare il perché raggiungo questa conclusione, ricorderò che non sono stati naturalmente presi in considerazione i disturbi alla spalla di destra e al polso destro, perché gli stessi non sono stati ritenuti in rapporto di causalità probabile con il sinistro dichiarato, nell’assenza di lesioni traumatiche evidenziate. Dal signor RI 1, il lieve deficit di estensione constatato al terzo dito appare come una chiara conseguenza dell’intervento svolto, con allungamento magari eccessivo dell’estensore comune delle dita. Tuttavia, questo lieve deficit di estensione non dà diritto ad un’IMI. In paragone, ad un’amputazione delle due falangi distali del dito medio corrisponde un’IMI del 5%. Invece, nel caso di artrosi – anche grave – delle dita o in stato dopo artrodesi nelle dita, il tasso di IMI previsto nelle tabelle SUVA (tabella 5 delle artrosi) è dello 0%. Per il deficit di flessione del gomito destro constatato durante l’ultima visita (perdita di flessione che corrisponde ad un 15% della mobilità contro laterale), non considero neanche il diritto ad un’IMI, anche inferiore al 5%, per il semplice motivo che questo deficit di flessione constatato non esisteva all’esame di entrata a __________ e che esso non si spiega dal punto di vista anatomico, in stato dopo epicondilite e intervento di denervazione. Rispetto all’amiotrofia constatata, essa corrisponde ad una perdita del 3% nel perimetro rispetto al lato controlaterale. Espressa rispetto alla sezione (e considerando l’avambraccio come una struttura circolare), la differenza fra i due lati è del 6%. Considerando già una un’anatomia un po’ modificata dopo l’intervento eseguito e anche il margine di errore di tali misure, la differenza tra i due lati appare non significativa e sicuramente non sufficiente a far considerare un’IMI, anche di tasso inferiore alla soglia indennizzabile. Finalmente, nell’assenza di un sostrato anatomico per i disturbi lievi della sensibilità e in presenza di una sintomatologia dolorosa fluttuante e anche non completamente spiegata dallo stato lesivo evidenziato, non ritengo neppure il diritto ad un’IMI.” (Doc. 203) L’assicurato ha contestato la valutazione del medico di __________, producendo il seguente referto del 4 luglio 2012 del dr. __________: " (…) Il dettagliato apprezzamento formulato dal Collega dr. __________ in data 11 giugno 2012 riporta: - un lieve deficit dell’estensione del dito III della mano destra, in miglioramento; - un perimetro massimo dell’avambraccio destro di un centimetro inferiore al contro laterale; - un deficit di flessione attiva di 22° del gomito destro rispetto al contro laterale; - uno stato doloroso, diffuso e fluttuante; - dei disturbi non sistematizzati della sensibilità, senza sostrato neurologico evidenziato. Si tratta di rilievi del tutto condivisibili, dovendosi peraltro rimarcare che l’assicurato, al momento della mia visita del 4 aprile 2012, oltre a quanto avanti richiamato, palesava anche: “discreta ipomiotrofia dell’emicingolo scapolo-omerale, con difetto perimetrico di 1,5 cm al terzo medio di bicipite. Alla faccia dorsale del gomito cicatrice chirurgica, lineare, di 15 cm. Elevazione abduzione di spalla che non arrivano a 90°, con un guadagno sino a 100° alla manovra passiva; proiezione dorsale -20%, postergazione con mano poco oltre la cintura, extrarotazione appena accennata, intrarotazione completa. Evidente impaccio nel posizionare il palmo della mano oltre il piano spalla. Netta ipovalidità in abduzione contro resistenza, tanto che con estrema difficoltà riesce a sollevare un volume del peso di circa 1 kg, mantenendo il gomito in estensione, riferendo inoltre che già gli risulta difficoltoso lo spostamento di una bottiglia piena. Pugno efficiente. Riferita ipoestesia tattile e termica sul versante esterno dell’arto in toto. Carente nei gradi estremi la flesso-estensione del gomito, venendo accusata vivamente dolente la prosupinazione. Discreto impaccio nelle manovre di vestizione e svestizione, quando deve attuare l’inserimento dell’arto superiore destro nella manica dell’indumento”. Il quadro effettivamente in atto è costituito, oltre che dai reliquati a carico del gomito, quali inquadrati nella relazione CO 1, anche – e soprattutto – da importanti sequele a carico della spalla e da una importante ipovalidità nelle manovre contro resistenza dell’arto in toto (si tratta del destro in destrimane), richiamate nel paragrafo precedente. Il tutto condiziona evidenti impacci anche nel disbrigo di attività elementari quotidiane – oltre che in ambito lavorativo – e proprio in considerazione delle limitazioni funzionali dell’arto superiore destro nel suo complesso, avevo formulato l’inquadramento a suo tempo prospettato, che sono in questa sede a ribadire.” (Doc. A2) Questa Corte, chiamata a pronunciarsi su una questione di carattere medico, attentamente vagliata la documentazione presente all’inserto, ritiene di non avere valide ragioni per scostarsi dall’apprezzamento del medico di __________. Il dr. __________ ha esposto dettagliatamente e in modo convincente i motivi per cui, nel caso concreto, il grado di menomazione durevole non raggiunge almeno il 5%. In particolare va considerato che nella Tabella delle menomazioni dell'integrità che figura all'Allegato 3 dell'OAINF la perdita di almeno due falangi di un dito o di una falange del pollice dà diritto ad un'IMI del 5%. Inoltre la Tabella 3 allestita dall'CO 1 per la perdita semplice o combinata di dita, mani o braccia relativamente all’amputazione di una falange del V dito non prevede alcuna IMI, mentre un tasso del 5% viene riconosciuto in caso di amputazione sia di due falangi di tale dito, che di tutto il dito. Quanto alle osservazioni formulate dal dr. __________ - il quale ha indicato che, oltre ai disturbi al gomito correttamente constatati dal dr. __________, l’assicurato presenta soprattutto “importanti sequele a carico della spalla” (doc. A2) - questo Tribunale sottolinea che il dr. __________ ha espressamente indicato che “non sono stati naturalmente presi in considerazione i disturbi alla spalla di destra e al polso destro, perché gli stessi non sono stati ritenuti in rapporto di causalità probabile con il sinistro dichiarato, nell’assenza di lesioni traumatiche evidenziate” (doc. 203). Il TCA condivide queste considerazioni del medico __________ __________ dell’assicuratore infortuni. In occasione del soggiorno presso la Clinica di __________, difatti, i medici hanno diagnosticato, come ben riassunto dal dr. __________, oltre al “trauma distrattivo dell’inserzione prossimale della muscolatura estensoria al gomito destro”, anche “una sindrome della cuffia dei rotatori, in assenza di lesioni transmurali a livello tendineo” e “una sindrome dolorosa al polso destro, in assenza di lesioni post-traumatiche evidenziate e in presenza di lievi disturbi degenerativi (cisti sottocondrali a livello dello scafoide)” (cfr. doc. 138 e doc. 203 pag. 2). Secondo questo Tribunale a ragione, dunque, l'CO 1 con la decisione su opposizione impugnata ha negato all'assicurato il diritto a beneficiare di un'IMI (cfr. RAMI 2004 U 514 pag. 415 segg.; STFA U 14/02 del 28 giugno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