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35.2012.47 vom 28. März 2013</w:t>
      </w:r>
    </w:p>
    <w:p>
      <w:r>
        <w:t>TI Tribunale d'appello, 2013-03-28, IT</w:t>
      </w:r>
    </w:p>
    <w:p>
      <w:r>
        <w:rPr>
          <w:b/>
        </w:rPr>
        <w:t xml:space="preserve">Quelle: </w:t>
      </w:r>
      <w:r>
        <w:t>https://mcp.opencaselaw.ch/entscheid/ti_gerichte_35.2012.47</w:t>
      </w:r>
    </w:p>
    <w:p>
      <w:r>
        <w:t>FR: TI_GERICHTE 35.2012.47 du 28 mars 2013</w:t>
      </w:r>
    </w:p>
    <w:p>
      <w:r>
        <w:t>IT: TI_GERICHTE 35.2012.47 del 28 marzo 2013</w:t>
      </w:r>
    </w:p>
    <w:p>
      <w:pPr>
        <w:pStyle w:val="Heading2"/>
      </w:pPr>
      <w:r>
        <w:t>Regeste</w:t>
      </w:r>
    </w:p>
    <w:p>
      <w:r>
        <w:t>Corretta decisione con la quale assicuratore ha dichiarato estinto proprio obbligo a prestazioni dal 17.10.2011.Assenza di postumi organici oggettivabili.Adeguatezza negata anche volendo seguire la tesi ricorsuale di applicazione della prassi elaborata in materia di traumi del tipo "colpo di frusta"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cpv. 1 OAINF recita che sono assicurati anche contro gli infortuni non professionali i dipendenti occupati a tempo parziale, che lavorano presso un datore di lavoro almeno per otto ore alla settimana. Per i dipendenti occupati a tempo parziale, la cui durata settimanale di lavoro è inferiore a questo minimo, gli infortuni occorsi sul tragitto per recarsi al lavoro e viceversa sono considerati infortuni professionali (cpv. 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