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35.2011.8 vom 21. März 2011</w:t>
      </w:r>
    </w:p>
    <w:p>
      <w:r>
        <w:t>TI Tribunale d'appello, 2011-03-21, IT</w:t>
      </w:r>
    </w:p>
    <w:p>
      <w:r>
        <w:rPr>
          <w:b/>
        </w:rPr>
        <w:t xml:space="preserve">Quelle: </w:t>
      </w:r>
      <w:r>
        <w:t>https://mcp.opencaselaw.ch/entscheid/ti_gerichte_35.2011.8</w:t>
      </w:r>
    </w:p>
    <w:p>
      <w:r>
        <w:t>FR: TI_GERICHTE 35.2011.8 du 21 mars 2011</w:t>
      </w:r>
    </w:p>
    <w:p>
      <w:r>
        <w:t>IT: TI_GERICHTE 35.2011.8 del 21 marzo 2011</w:t>
      </w:r>
    </w:p>
    <w:p>
      <w:pPr>
        <w:pStyle w:val="Heading2"/>
      </w:pPr>
      <w:r>
        <w:t>Regeste</w:t>
      </w:r>
    </w:p>
    <w:p>
      <w:r>
        <w:t>Caduta da moto con trauma contusivo lombare. Diagnosi di stenosi spinale L4/L5. Infortunio responsabile di un peggioramento passeggero dello stato preesistente (morboso) del rachide con status quo sine raggiunto, al più tardi, trascorsi poco meno di 2 anni dall'evento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Dalle tavole processuali emerge che RI 1 soffre di disturbi a livello del rachide lombare con tendenza all’irradiazione del dolore verso l’arto inferiore destro. Con la decisione su opposizione impugnata, l’amministrazione, facendo capo principalmente al parere espresso dal proprio medico di __________, ha innanzitutto sostenuto che l’infortunio del giugno 2008 può avere temporaneamente aggravato il preesistente stato morboso (stenosi spinale a livello di L4/L5), ma che lo status quo sine era ampiamente raggiunto al momento della chiusura del caso, trascorsi poco meno di due anni dal sinistro (cfr. doc. 178, p. 7). Chiamata a pronunciarsi, questa Corte non ha motivi per scostarsi dall’apprezzamento enunciato dal dott. __________, spec. FMH in chirurgia ortopedica, le cui conclusioni appaiono ben motivate e convincenti (cfr. doc. 117, p. 4: “L’infortunio può aver reso manifesta la stenosi del canale spinale, ora vi è però una dinamica autonoma e indipendente dall’infortunio, infatti la sintomatologia di stenosi del canale spinale continua a peggiorare anche se a quell’altezza (L4/L5) non si sono mai potute visualizzare lesioni di tipo post-traumatico.”, doc. 131: “In ogni caso la sintomatologia lamentata dall’assicurato il 18.9.2009 non aveva nulla a che vedere con qualcosa di locale alla III vertebra lombare (indipendentemente che ci fosse stata una possibile piccola infrazione di alcune trabecole ossee) ma era da riferire alla stenosi spinale all’altezza L4/L5, in ogni caso non di origine post-traumatica. Si confermano quindi le conclusioni contenute nel rapporto di visita medico-__________ del 18.9.2009 e si ritiene che la caduta del 23.6.2008 non abbia più nessuna influenza sull’attuale sintomatologia lamentata dall’assicurato per cui la causalità può essere considerata estinta.” e doc. 174: “In settembre l’assicurato lamentava anche disturbi tipici di una claudicatio spinalis e per questo è stato operato e si è proceduto ad una decompressione del canale spinale all’altezza L4/L5. (…). Risulta chiaro che la stenosi del canale spinale non è assolutamente stata provocata dall’infortunio, infatti l’infortunio stesso non ha provocato nessuna deformazione delle strutture vertebrali suscettibili di provocare una stenosi del canale spinale. Risulta quindi evidente che la causalità va considerata estinta al più tardi quando l’assicurato è stato operato per decompressione del canale spinale .” - il corsivo è del redattore). D’altro canto, il TCA osserva che la tesi dell’aggravamento temporaneo di uno stato morboso preesistente, è stata condivisa anche dai sanitari del Servizio __________ di neurochirurgia. In effetti, già in occasione della consultazione del 15 settembre 2008, essi hanno sostenuto che la sintomatologia accusata dall’assicurato andava verosimilmente correlata “… al contesto degenerativo a più livelli e alla stenosi canalare L4-L5.” (doc. 35). Gli stessi specialisti, ancora nel novembre 2008, hanno dichiarato che “… la condizione degenerativa in atto è un evento antecedente a quello traumatico che verosimilmente è stato l’evento scatenante della sintomatologia dolorosa, ma che la sua condizione degenerativa non ha nessuna correlazione con il trauma lavorativo subito dal paziente .” (doc. 64 - il corsivo è del redattore). Infine, va segnalato che le conclusioni a cui è pervenuto il dott. __________, condivise dagli specialisti del Servizio cantonale di neurochirurgia, si rivelano pure conformi alla giurisprudenza federale secondo la quale, dopo traumi quali contusioni o distorsioni, lo stato anteriore del rachide può, di regola, considerarsi ristabilito trascorsi alcuni mesi (di norma da sei a nove) a contare dall'evento traumatico, come se l'infortunio non fosse mai sopraggiunto ( status quo sine ) (cfr., ad esempio, STFA U 194/05 del 25 ottobre 2006, U 122/02 del 28 maggio 2004, consid. 4.2.1, U 483/00 del 9 luglio 2001, consid. 4c, U 401/00 del 6 giugno 2001 e U 199/00 del 29 dicembre 2000). D’altronde, è l’insorgente stesso a non pretendere che i disturbi localizzati nella regione lombare sarebbero ancora da considerare una conseguenza naturale dell’evento infortunistico del 23 giugno 2008 (cfr. doc. I). Trattandosi dei disturbi all’anca destra, l’Istituto assicuratore si è nuovamente rifatto all’opinione del proprio medico di circondario, per il quale, in occasione della caduta in questione, RI 1 ha riportato una semplice contusione con dolori al trocantere laterale, con guarigione raggiunta, al più tardi , il 18 settembre 2009 visto che, a quel momento, non erano stati più refertati dei sintomi di una contusione dell’anca destra e non c’erano segni d’ impingement . Il dott. __________ ha peraltro ricordato che l’anca sinistra non è rimasta coinvolta nell’infortunio del 23 giugno 2008 (doc. 177). Con particolare riferimento agli accertamenti compiuti dal dott. __________ nel corso dell’estate del 2010, l’insorgente fa invece valere che i disturbi interessanti l’arto inferiore destro andrebbero imputati a una borsite trocanterica, la quale si troverebbe in relazione di causalità naturale con l’evento traumatico assicurato (cfr. doc. I). Il TCA constata che, presa visione delle risultanze degli esami radiologici e strumentali eseguiti nel frattempo, il dott. __________, Primario del Servizio di chirurgia ortopedica e traumatologia dell’Ospedale regionale di Lugano, ha finalmente ritenuto la diagnosi di impingement femoro acetabolare tipo cam bilaterale , sottolineando peraltro che tale patologia non trova alcuna correlazione sul piano clinico (allegato al doc. 172: “Radiologicamente il paziente presenta effettivamente una lesione degenerativa di tipo impingement cam a livello di entrambe le anche, che tuttavia non trovano attualmente alcuna espressione clinica.”; in questo stesso senso si è pronunciato il reumatologo dott. __________, autore della perizia 1° marzo 2011 per conto della __________ - doc. B2, p. 14: “L’esame degli arti inferiori non mostra limitazioni funzionali con particolare riferimento all’anca destra dove non riscontro segni per una patologia endoarticolare pur essendoci una estesa lesione del labbro secondo una artro-RM effettuata in agosto del 2010. (…). I test per un eventuale impingement (attrito coxo-femorale) risultano negativi .” - il corsivo è del redattore). Ora, visto che la diagnosticata affezione non è suscettibile di giustificare i sintomi denunciati dal ricorrente, essa non può nemmeno dare diritto a ulteriori cure mediche (che l’interessato ha peraltro rifiutato - cfr. allegato al doc. 172), come pure a ulteriori indennità giornaliere. A titolo abbondanziale, in considerazione della bilateralità della patologia in questione, il TCA ritiene che vi siano dei fondati motivi per dubitare dell’eziologia traumatica della medesima. In effetti, dalla pregressa documentazione si evince che ad essere rimasta coinvolta nella caduta è unicamente l’anca destra (cfr., per esempio, i doc. 2, 33, 35, p. 1 e 52), anche se - probabilmente a causa di un errore -, nel rapporto di uscita 30 giugno 2008 dell’Ospedale regionale di __________, si fa stato di un dolore alla coscia sinistra (cfr. doc. 7). Per quanto concerne la borsite trocanterica - a prescindere dalla circostanza che l’artro-risonanza magnetica eseguita il 30 agosto 2010 non ne ha rivelato la presenza (cfr. allegato al doc. 172: “Non borsite trocanterica.”) -, il dott. __________ non ha affatto preteso che essa si troverebbe all’origine dei disturbi lamentati da RI 1 (da intendersi quelli invalidanti a livello lombo-sacrale; in proposito, si veda il rapporto di uscita 22 dicembre 2010 dell’Ospedale __________, da cui risulta che il ricovero si era reso necessario a causa della presenza di una “… importante sindrome lombare algica divenuta ingestibile al domicilio.” - doc. B1). La borsite trocanterica si manifesta infatti con dolore sulla sporgenza del grande trocantere , e quindi sul fianco (www.ancaeginocchio.it/anca/trocanterite). Inoltre, occorre tenere conto che il chirurgo ortopedico dott. __________ (cfr. doc. 177) ha spiegato che le conseguenze della contusione dell’anca destra sono guarite, al più tardi , nel mese di settembre 2009, posto che, in occasione della visita di controllo del 18 settembre 2009, il ricorrente non presentava più alcun sintomo ad essa riferibile. Questo Tribunale osserva che quanto sostenuto dal medico di __________ trova effettiva conferma nelle carte processuali (cfr. doc. 117, p. 3: “… in data odierna i dolori sono localizzati esclusivamente ai processi spinosi sacrali e alla base del sacro.” e doc. 80 - rapporto di uscita 31 gennaio 2009 della Clinica di riabilitazione di __________, da cui si evince che i dolori interessavano specialmente la regione lombare, con irradiazione lungo tutto l’arto inferiore destro - ), ragione per la quale il suo parere (raggiungimento dello status quo ante ) appare senz’altro condivisibile. In esito a tutto quanto precede, il TCA ritiene dimostrato, perlomeno secondo il criterio della verosimiglianza preponderante, caratteristico del settore della sicurezza sociale (cfr. DTF 125 V 195 consid. 2 e riferimenti; cfr., pure, Ghélew, Ramelet, Ritter, op. cit., p. 320 e A. Rumo-Jungo, op. cit., Zurigo 2003, p. 343), che RI 1 , tenuto conto dei postumi infortunistici oggettivabili, aveva ritrovato una piena capacità lavorativa e non necessitava più di cure mediche a decorrere dall’11 giugno 2010, così come ha giustamente deciso 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