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35.2011.79 vom 16. Februar 2012</w:t>
      </w:r>
    </w:p>
    <w:p>
      <w:r>
        <w:t>TI Tribunale d'appello, 2012-02-16, IT</w:t>
      </w:r>
    </w:p>
    <w:p>
      <w:r>
        <w:rPr>
          <w:b/>
        </w:rPr>
        <w:t xml:space="preserve">Quelle: </w:t>
      </w:r>
      <w:r>
        <w:t>https://mcp.opencaselaw.ch/entscheid/ti_gerichte_35.2011.79</w:t>
      </w:r>
    </w:p>
    <w:p>
      <w:r>
        <w:t>FR: TI_GERICHTE 35.2011.79 du 16 février 2012</w:t>
      </w:r>
    </w:p>
    <w:p>
      <w:r>
        <w:t>IT: TI_GERICHTE 35.2011.79 del 16 febbraio 2012</w:t>
      </w:r>
    </w:p>
    <w:p>
      <w:pPr>
        <w:pStyle w:val="Heading2"/>
      </w:pPr>
      <w:r>
        <w:t>Regeste</w:t>
      </w:r>
    </w:p>
    <w:p>
      <w:r>
        <w:t>Irricevibilità di una petizione in cui fatto valere prestazioni dell'assic.complementare LAINF soggiacente alla LCA.TCA incompetente ratione materiae. A differenza dell'assic.complem.all'ass.malattie competente non è infatti il TCA, bensì la giurisdiz. civile ordin. Atti trasmessi al Trib.competente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cantonale delle assicurazioni giudica come istanza unica i ricorsi in materia di assicurazioni sociali federali ai sensi dell’art. 57 della legge federale sulla parte generale del diritto delle assicurazioni sociali (in seguito LPGA) e le azioni in materia di previdenza professionale.</w:t>
      </w:r>
    </w:p>
    <w:p>
      <w:r>
        <w:rPr>
          <w:b/>
        </w:rPr>
        <w:t>E. 2</w:t>
      </w:r>
    </w:p>
    <w:p>
      <w:r>
        <w:t>Il patto deve essere stipulato per scritto. Sono equiparati al patto scritto: a.   i mezzi di trasmissione che consentono la prova per testo (telex, facsimile, posta elettronica, ecc.); e b.   l'accordo orale delle parti, confermato per scritto.</w:t>
      </w:r>
    </w:p>
    <w:p>
      <w:r>
        <w:rPr>
          <w:b/>
        </w:rPr>
        <w:t>E. 3</w:t>
      </w:r>
    </w:p>
    <w:p>
      <w:r>
        <w:t>Il giudice designato può declinare la competenza qualora la controversia non denoti sufficiente nesso territoriale o materiale con il foro pattuito." Secondo l'art. 23 delle CGA in vigore al momento dell’infortunio (cfr. Doc. 2), "in caso di controversie risultanti dal presente contratto, il contraente o l’avente diritto può sporgere querela contro la CO 1 al foro del proprio domicilio svizzero o a quello di __________". Nel caso concreto, RI 1, avente diritto, è domiciliato all'estero. Gli atti vengono quindi trasmessi al competente Tribunale del Canton __________.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