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35.2011.22 vom 20. März 2012</w:t>
      </w:r>
    </w:p>
    <w:p>
      <w:r>
        <w:t>TI Tribunale d'appello, 2012-03-20, IT</w:t>
      </w:r>
    </w:p>
    <w:p>
      <w:r>
        <w:rPr>
          <w:b/>
        </w:rPr>
        <w:t xml:space="preserve">Quelle: </w:t>
      </w:r>
      <w:r>
        <w:t>https://mcp.opencaselaw.ch/entscheid/ti_gerichte_35.2011.22</w:t>
      </w:r>
    </w:p>
    <w:p>
      <w:r>
        <w:t>FR: TI_GERICHTE 35.2011.22 du 20 mars 2012</w:t>
      </w:r>
    </w:p>
    <w:p>
      <w:r>
        <w:t>IT: TI_GERICHTE 35.2011.22 del 20 marzo 2012</w:t>
      </w:r>
    </w:p>
    <w:p>
      <w:pPr>
        <w:pStyle w:val="Heading2"/>
      </w:pPr>
      <w:r>
        <w:t>Regeste</w:t>
      </w:r>
    </w:p>
    <w:p>
      <w:r>
        <w:t>Due cadute con, rispettivamente, frattura pollice sx. e frattura caviglia sx. Negata eziologia traumatica ai disturbi lombari. Valutazione del grado d'invalidità. Valutazione entità menomazione all'integrità. Ammessa AG</w:t>
      </w:r>
    </w:p>
    <w:p>
      <w:pPr>
        <w:pStyle w:val="Heading2"/>
      </w:pPr>
      <w:r>
        <w:t>Erwägungen</w:t>
      </w:r>
    </w:p>
    <w:p>
      <w:r>
        <w:rPr>
          <w:b/>
        </w:rPr>
        <w:t>E. 5</w:t>
      </w:r>
    </w:p>
    <w:p>
      <w:r>
        <w:t>kg oltre l’altezza del petto. L’assicurato non ha limitazioni nel maneggio di attrezzi leggeri e di precisione, può spesso maneggiare attrezzi di media entità e non può più maneggiare attrezzi pesanti o molto pesanti, l’assicurato non ha limitazioni nella rotazione della mano. L’assicurato non ha limitazioni nell’effettuare lavori al di sopra della testa, non ha limitazioni nell’effettuare la rotazione del tronco, non ha limitazioni nell’assumere la posizione seduta e inclinata in avanti, egli può talvolta assumere la posizione in piedi e inclinata in avanti, molto spesso assumere la posizione inginocchiata, talvolta effettuare la flessione delle ginocchia. L’assicurato non ha limitazione nell’assumere la posizione seduta e di lunga durata e può spesso assumere la posizione in piedi e di lunga durata. L’assicurato non ha limitazioni nel camminare fino a 50 m, può spesso camminare oltre i 50 m, di rado camminare per lunghi tragitti, di rado su terreno accidentato, egli può di rado salire le scale e non può più salire su scale a pioli. (…).” (doc. 148, p. 4 - inc. 1). Prima di procedere all’emanazione della decisione di rendita, il medico di __________ ha ancora precisato che, alla luce dello status oggettivato durante la visita medica di chiusura, “… per il solo pollice sinistro non ci sono postumi infortunistici invalidanti suscettibili di modificare la capacità lavorativa. Se l’assicurato non avesse avuto gli altri problemi sarebbe stato considerato abile al lavoro al 100%.” (doc. 152 - inc. 1). In sostanza, per il medico di fiducia dell’amministrazione, l’assicurato potrebbe esercitare, senza limitazioni, un’attività professionale alternativa a quella di falegname, fisicamente leggera per quanto concerne il sollevamento/trasporto di pesi ed il maneggio di attrezzi, da svolgere in posizione prevalentemente seduta, eventualmente alternata seduta/eretta. Questo Tribunale constata che l’apprezzamento del dott. __________ non é sostanzialmente inficiato né dal rapporto afferente alla degenza 17 maggio-4 giugno 2010 presso la Clinica __________, elaborato dal dott. __________, spec. FMH in reumatologia (doc. 128, p. 4 - inc. 1: “In merito all’abilità lavorativa penso che il paziente é ormai inabile definitivamente al 100% come falegname, é abile al 100% nell’ambito di un’attività leggera dove possa stare seduto, non debba salire scale, in particolare a pioli .” - il corsivo é del redattore), né dalla valutazione delle capacità funzionali (EFL) a cui l’insorgente é stato sottoposto nel corso dell’estate 2010 presso la __________ (doc. 137, p. 5 - inc. 1: “lavoro da molto leggero a leggero: tutto il giorno; rendimento iniziale del 50% (con frequenti pause di recupero tra i diversi momenti di lavoro); prevalentemente da seduti o dove sia possibile cambiare spesso posizione di lavoro; reinserimento graduale al lavoro nel primo mese di lavoro.”). A quest’ultimo riguardo, occorre però precisare che nella valutazione delle capacità funzionali si é tenuto conto anche della problematica interessante il rachide lombo-sacrale, non di pertinenza dell’assicurazione contro gli infortuni (cfr. il consid. 2.3.3.). D’altro canto, nello svolgimento dei test ergonomici la concordanza e la consistenza, nel caso concreto, sono state insufficienti, visto che il paziente presentava una forte tendenza all’aggravazione dei sintomi, tanto che la valutazione EFL é stata giudicata inaffidabile (e ritenuto invece determinante l’apprezzamento medico-diagnostico). Sulla rilevanza di una valutazione EFL per l’apprezzamento della capacità lavorativa, si veda la STF 8C_547/2008 del 16 gennaio 2009, consid. 4.2.1, pubblicata in SVR 2009 IV nr. 26. Dalla perizia 13 settembre 2011 della dott.ssa D. Santollino, Capo-clinica presso il Servizio di psichiatria dell’Ospedale Malcantonese di Castelrotto, si evince che l’assicurato soffre di una depressione reattiva medio-lieve (ICD-10: F32.01), patologia „di recente insorgenza (se ne ha nozione dal giugno 2010) …“. Per la psichiatra interpellata dall’Ufficio AI, „la situazione osservabile in sede di esame peritale non soddisfa i criteri di Foester, sia per quanto riguarda la non esigibilità di uno sforzo di volontà per reinserirsi nel mondo del lavoro, sia riguardo la presenza di una patologia fisica cronicizzata grave e per la perdita dell’integrazione sociale. Va annotato che la reazione depressiva citata in diagnosi e sottolineata dal Medico curante, é di recente insorgenza (se ne ha nozione dal giugno 2010) e, soprattutto, non ha indotto il Curante a consigliare un supporto specialistico, né alcuna terapia mirata. Allo stato attuale non si rintracciano elementi clinici di cronicità dell’affezione depressiva. Ciò che viene osservato, pertanto, potrebbe beneficiare, anche in modo significativo, di una farmacoterapia ad hoc e di un supporto psicoterapico che aiuti l’A a comprendere che il suo titolo di studio non trova sbocchi nel contesto lavorativo del paese in cui vive.“ La dott.ssa Santollino ha infine dichiarato Radivoje Simic inabile al lavoro in misura non superiore al 30% (doc. G - inc. 32.2011.268). Secondo il TCA, può rimanere aperta la questione di sapere se l’affezione psichica appena citata costituisce una conseguenza, naturale e adeguata, degli infortuni assicurati, questione sulla quale l’INSAI non si é del resto pronunciato. In effetti, come già statuito nella sentenza 32.2011.268 del 29 febbraio 2012 emanata nella causa parallela in materia di assicurazione per l’invalidità, tenuto conto delle circostanze che emergono dalla perizia psichiatrica (l’assenza di una problematica psichica grave, l’assenza di presa a carico psichiatrica, né farmacologica né sotto forma di supporto psicoterapico, l’assenza di elementi clinici di cronicità della patologia e la presenza di fattori stressori estranei all’invalidità, innanzitutto il mancato riconoscimento in Svizzera del titolo di studio conseguito nel paese di origine), occorre ritenere, in ossequio alla giurisprudenza federale (cfr. SVR 1/2012 IV 1 p. 1 consid. 3.4.2.2 e riferimenti ivi citati), che il disturbo psichico in questione non é di natura invalidante. Per quanto attiene ai disturbi uditivi , questo Tribunale prende atto come nessuno pretenda che essi costituiscano una conseguenza degli infortuni assicurati (l’istituto assicuratore é infatti chiamato a decidere se essi rappresentano una malattia professionale - cfr. doc. XX), motivo per cui questo aspetto esula dalla presente procedura ricorsuale. Tutto ben considerato, i n esito alle considerazioni che precedono, il TCA deve concludere che, dal punto di vista medico, l’assicurato non è più in grado di esercitare l’attività di falegname, svolta in precedenza. Nondimeno, sul mercato generale del lavoro esistono delle attività che egli sarebbe in grado di svolgere a tempo pieno e con un rendimento completo, nonostante il danno alla salute infortunistico.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2.4.4. Si tratta ora di valutare le conseguenze economiche del danno alla salute infortunistico. Per quanto concerne il reddito da valido , secondo l’CO 1, l'insorgente avrebbe guadagnato nel 2010, qualora non fosse rimasto vittima degli infortuni assicurati, un importo annuo di fr. 64'301.25 (cfr. doc. 154 - inc. 1). Questo dato, desunto dalle informazioni fornite direttamente dal datore di lavoro (cfr. doc. 122B - inc. 1), può senz’altro essere fatto proprio dal TCA. 2.4.5.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2.4.6. Per determinare il reddito ancora esigibile dall'assicurato, l'assicuratore LAINF resistente ha compiuto in sede amministrativa degli accertamenti presso alcune aziende ticinesi. Dai medesimi risulta che nelle attività leggere che l'assicurato sarebbe in grado di esercitare tenuto conto delle sequele infortunistiche che interessano l’arto inferiore sinistro, e meglio l’estrusore per stampaggio a iniezione presso la __________ di __________, il preparatore di cioccolata presso la ____________________, l’operaio addetto alla fabbricazione di trapani presso la __________, il raffilatore presso la __________ e l’aiuto stampatore presso la ____________________, i dipendenti di tali ditte percepivano in media, nel 2010 (cfr., a questo proposito, DTF 128 V 174 = RAMI 2002 U 467, p. 511ss.), un reddito annuo pari a fr. 48'078 (cfr. doc. 154 + allegati - inc. 1).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dallo specchietto che figura sull’allegato al doc. 154 si evince che sono 41 i posti di lavoro che entrano in considerazione, che i salari minimo e massimo ammontano, rispettivamente, a fr. 31’655 e a fr. 67'222, e infine che quello medio è di fr. 47'930. Il TCA constata che il valore considerato dall’assicuratore LAINF convenuto (fr. 48'078) è superiore dello 0.38 % rispetto alla media dei salari medi (fr. 47'930). In base alla giurisprudenza federale, ciò non è però manifestamente sufficiente per dubitare della rappresentatività del reddito da invalido stabilito in base alle DPL. Basti ricordare che in una sentenza U 594/06 del 26 aprile 2007, l’Alta Corte è pervenuta a questa stessa conclusione trattandosi di una differenza dell’8% circa (cfr., pure, la STCA 35.2005.90 del 22 maggio 2006 consid. 2.9., pubblicata in RtiD II 2006 n. 54, in cui questo Tribunale ha deciso di fare propria la prassi dell’__________ secondo la quale sono di principio tollerati scostamenti sino al 10% ). In conclusione - assodato che i cinque posti di lavoro segnalati dall’amministrazione rispettano le limitazioni funzionali descritte nella documentazione medica agli atti, aspetto riguardo al quale l’insorgente non ha d’altronde sollevato specifiche obiezioni (cfr. STF 8C_285/2010 del 6 settembre 2010) -, il reddito da invalido è stato validamente determinato in base alle DPL. Esso ammonta a fr. 48'078. Decurtazioni sul reddito da invalido stabilito in applicazione delle DPL non possono entrare in linea di conto , considerato il sistema stesso su cui si fonda questa modalità di fissazione del reddito (cfr. DTF 129 V 472 consid. 4.2.3). 2.4.7.   Il grado di invalidità dell'insorgente - determinato confrontando i fr. 48'078 al reddito che egli avrebbe potuto conseguire se non fossero intervenuti gli infortuni, e cioè fr. 64'301.25 - risulta quindi essere del 25.23%, arrotondato al 25% secondo la giurisprudenza di cui alla DTF 130 V 121, consid. 3.2. = SVR 2004 UV Nr. 11 p. 41 (cfr. anche SVR 2004 UV Nr. 12 p. 44 nella quale l'Alta Corte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a RI 1 è stata attribuita una rendita di invalidità proprio del 25%, la decisione su opposizione impugnata merita di essere confermata. 2.5. Entità della menomazione all’integrità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L’assicuratore LAINF resistente, sentito il parere del proprio medico __________ __________, ha assegnato al ricorrente un’IMI del 10% (cfr. doc. 158, p. 3 - inc. 1). Questa la valutazione del dott. __________ contenuta nel referto relativo alla visita medica di chiusura del 2 settembre 2010: " REFERTO Come esiti importanti e durevoli abbiamo in data odierna dolore alla tibiotarsica a sinistra in stato da frattura Weber B trattata conservativamente e con modica residua limitazione della funzionalità. VALUTAZIONE IMI 10% GIUSTIFICAZIONE I sintomi lamentati dall’assicurato e i reperti oggettivabili sono al massimo paragonabili a quelli che si possono avere in caso di un’artrosi della tibiotarsica di entità media. Secondo la tabella 5.2 un’artrosi della tibiotarsica di media entità da diritto a un’IMI tra il 5 e il 15%, si prende il valore intermedio del 10%. Per quanto attiene alla sindrome post-trombotica l’assicurato presenta soltanto un lieve edema, appena percettibile a livello dell’arto inferiore sinistro che sicuramente può essere curato con calza di compressione, secondo la tabella 16.2 questo tipo di sindrome post-trombotica non da diritto a un’indennità per menomazione dell’integrità. La problematica al pollice sinistro, non da diritto a un’indennità per menomazione dell’integrità in quanto l’assicurato ha una funzione normale del pollice con un’opposizione completa. I sintomi lamentati sono paragonabili al massimo a quelli che si possono avere in caso di una lieve artrosi di un dito. L’artrosi delle dita non da comunque diritto a un’IMI. I dolori alla schiena non sono di origine post-traumatica.” (doc. 147 - inc. 1) 2.5.6.   Chiamato a pronunciarsi, il TCA sottolinea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Ai fini della determinazione dell’IMI, occorre perciò fare astrazione dai disturbi soggettivamente accusati dall’assicurato che non trovano correlazione sul piano oggettivo . In effetti, se si tenesse conto di disturbi (soltanto) soggettivamente risentiti, non si giungerebbe più a una valutazione astratta e egualitaria di una menomazione all’integrità. Nel caso di specie, questo Tribunale rileva che, a margine della consultazione specialistica del 23 novembre 2009, il dott. __________, spec. FMH in chirurgia ortopedica e traumatologia, , aveva sottolineato che le alterazioni evidenziate non erano “… totalmente correlabili con la sintomatologia dolorosa che il paziente presenta, …”. Egli aveva peraltro suggerito l’esecuzione di un esame SPEC-TC del piede sinistro (cfr. doc. 23, p. 3 - inc. 1). L’accertamento in questione, effettuato nel corso del 2010 presso l’Ospedale cantonale di __________, aveva consentito di oggettivare unicamente un’artrosi medio-dorsale lieve , senza mostrare una massiccia captazione (cfr. doc. 111 - inc. 1). Un’importante estensione della sintomatologia é stata del resto segnalata anche nel rapporto relativo alla valutazione delle capacità funzionali del 2 agosto 2010 (cfr. doc. 137 - inc. 1). Alla luce di quanto precede, non appare dunque censurabile in particolare il fatto che il medico __________ abbia comparato la situazione a livello dell’estremità inferiore sinistra a un quadro di artrosi della tibiotarsica di media entità e che, in applicazione della tabella 5.2 edita dalla Divisione di medicina assicurativa dell’INSAI, abbia quantificato nel 10% l’indennità spettante a RI 1 . La decisione su opposizione impugnata é quindi da confermare anche nella misura in cui all’insorgente é stata assegnata un’IMI del 10%. 2.6. Deve essere ancora verificato se il ricorrente può essere posto al beneficio dell’assistenza giudiziaria con il gratuito patrocinio dell’avv. RA 1. 2.6.1.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U 114/03 del 3 luglio 2003,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U 114/03 del 3 luglio 2003,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U 102/04 del 20 settembre 2004). L’indigenza processuale è data ove il richiedente non disponga di più mezzi di quelli necessari per il mantenimento normale e modesto della famiglia (cfr. RAMI 1996 U 254 p. 209 consid. 2; STFA del 2 settembre 1994 nella causa J.P.H., p.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(B. Cocchi, F. Trezzini, op. cit., N. 10 ad art. 156, p. 490). Nella commisurazione della capacità patrimoniale del richiedente va considerata anche l’eventuale sostanza e non unicamente i redditi conseguiti. In effetti prima di poter eventualmente richiedere l’assistenza giudiziaria dallo Stato, la persona interessata, nel limite dell’esigibile, deve di principio attingere alla propria sostanza (cfr. STF I 134/06 del 7 maggio 2007). Secondo il TFA,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31.1998.50 del 12 marzo 2001). Secondo la giurisprudenza federale,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2.6.2.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2.6.3.   In concreto, risulta dagli atti di causa che RI 1, coniugato e con una figlia di 16 anni a carico, é al beneficio delle prestazioni assistenziali (cfr. la decisione 31 ottobre 2011 dell'Ufficio del sostegno sociale e dell'inserimento, acclusa al doc. XVI). In tali circostanze, l'indigenza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dell'assicurata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