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35.2010.7 vom 29. April 2010</w:t>
      </w:r>
    </w:p>
    <w:p>
      <w:r>
        <w:t>TI Tribunale d'appello, 2010-04-29, IT</w:t>
      </w:r>
    </w:p>
    <w:p>
      <w:r>
        <w:rPr>
          <w:b/>
        </w:rPr>
        <w:t xml:space="preserve">Quelle: </w:t>
      </w:r>
      <w:r>
        <w:t>https://mcp.opencaselaw.ch/entscheid/ti_gerichte_35.2010.7</w:t>
      </w:r>
    </w:p>
    <w:p>
      <w:r>
        <w:t>FR: TI_GERICHTE 35.2010.7 du 29 avril 2010</w:t>
      </w:r>
    </w:p>
    <w:p>
      <w:r>
        <w:t>IT: TI_GERICHTE 35.2010.7 del 29 aprile 2010</w:t>
      </w:r>
    </w:p>
    <w:p>
      <w:pPr>
        <w:pStyle w:val="Heading2"/>
      </w:pPr>
      <w:r>
        <w:t>Regeste</w:t>
      </w:r>
    </w:p>
    <w:p>
      <w:r>
        <w:t>Infortunio spalla destra. Artroscopia, fisioterapia, stabilizzazione. IMI, di cui l'insorgente contesta la percentuale. L'assicuratore non è obbligato alla presa a carico di ulteriori cicli di fisioterapia, se si tratta di una misura volta a conservare la capacità lavorativa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Ramelet/Ritter, Commentaire de la loi sur l'assurance-accidents (LAA), Losanna 1992, p. 41ss.). L’Alta Corte federale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recente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 namhafte Besserung " e " sensible amélioration "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STFA U 244/04 del 20 maggio 2005, in RAMI 2005 no. U 557 pag. 388 consid. 1, non pubblicato, e 3;). " 2.3.2.   A proposito della copertura delle sedute di fisioterapia da parte di un istituto assicuratore LAINF, in una sentenza U 378/99 del 23 marzo 2000 il TFA (dal 1° gennaio 2007: Tribunale federale) ha deciso che l'assicuratore LAINF non era tenuto a sopportare i costi di ulteriori cure, visto che l'assicurata non aveva voluto sottoporsi a un intervento di impianto di protesi al ginocchio destro, unico trattamento che avrebbe potuto migliorare la situazione del ginocchio. Una terapia conservativa, nel caso di specie sotto forma di sedute di fisioterapia, secondo i medici interpellati, infatti non era per sua natura atta a migliorare lo stato di salute dell'assicurata. L'Alta Corte, in particolare, ha rilevato: " […] b) De l'avis unanime des médecins consultés, un traitement conservateur (en particulier sous la forme de séances de physiothérapie) n'est pas de nature à améliorer l'état de santé de la recourante. Un tel objectif ne peut en effet être atteint que par l'implantation d'une prothèse totale du genou droit (cf. les rapports des docteurs S.________, R.________, C.________ et Y.________ cités sous les lettres A et B de l'état de fait). Contrairement à ce que soutient la recourante, il n'y a donc pas lieu d'attendre du traitement physiothérapique dont elle sollicite la prise en charge une quelconque amélioration de son état de santé. Tout au plus celui-ci peut-il soulager temporairement ses douleurs, ce qui ne lui confère toutefois pas le droit à la poursuite d'un traitement médical à charge de son assureur-accidents (cf. Ghélew/Ramelet/Ritter op. cité p. 72). Par conséquent, l'intimée pouvait, comme elle l'a fait, limiter son intervention à trois ou quatre séries de six séances de physiothérapie par année, en cas de périodes douloureuses." (STFA U 378/99 del 23 marzo 2000, consid. 3b) In un'altra sentenza U 212/02 del 19 aprile 2004, concernente un’assicurata vittima di un incidente della circolazione stradale in cui ha riportato vari traumi, tra cui una frattura multiframmentaria del femore destro, a seguito dei quali le è stata assegnata una rendita d’invalidità, il TFA ha rilevato che dalla continuazione dei trattamenti medici non vi era più da attendersi un sensibile miglioramento dello stato di salute dell’assicurata, e che pertanto la questione della presa a carico delle cure mediche si poneva unicamente dal profilo dell’art. 21 LAINF (cfr. consid. 4.3). Nella sentenza U 111/05 del 20 giugno 2006, afferente ad un assicurato che aveva subito, a distanza di dieci mesi, due lussazioni alla spalla sinistra, il TFA ha rilevato che i cicli di fisioterapia già svolti dall’assicurato non avevano portato ad un considerevole miglioramento dal profilo medico, e che pertanto la conduzione di ulteriori cicli di fisioterapia non era in contrasto con la chiusura del caso da parte dell’assicuratore LAINF (cfr. consid. 2.2): " Das Gleiche gilt in Bezug auf eine allfällige Weiterführung physiotherapeutischer Massnahmen. Diese können von der Unfallversicherung auch nach Festsetzung der Rente übernommen werden, wenn sie zur Erhaltung der verbleibenden Erwerbsfähigkeit erforderlich sind (Art. 21 Abs. 1 lit. c UVG)." Nella sentenza U 34/07 del 4 marzo 2008 la nostra Massima Istanza, in merito al caso di un assicurato vittima di un incidente della circolazione stradale, si è così espressa: " […] Va poi aggiunto che la giurisprudenza ha già avuto modo di affermare che se non è verosimile, da un punto di vista della prognosi, che una cura medica esplichi effetti durevoli, non si può parlare di un miglioramento della stato di salute così come lo presuppone il diritto alla cura medica (sentenza precitata U 244/04 del 20 maggio 2005, consid. 3.2). In concreto, come già accennato, oltre a non aver richiesto l'esecuzione di cure, il medico curante ha addirittura attestato che la fisioterapia non era stata di alcun aiuto. In simili circostanze, anche se si fosse in presenza di un peggioramento dello stato di salute dell'interessato, non vi sarebbe quindi alcun diritto all'esecuzione di nuove cure." (STFA U 34/07 del 4 marzo 2008, consid. 8.1) Nella sentenza 35.2001.65 del 2 agosto 2002 il TCA ha ritenuto estremamente generosa la decisione di un Istituto assicuratore LAINF di assumere i costi di 48 sedute di fisiochinesiterapia per anno per i successivi due anni, di 36 sedute per anno per altri quattro anni, nonché di 24 sedute per anno per ulteriori 4 anni, alla luce di quanto dichiarato dal medico fiduciario dell'assicuratore che ha prescritto i provvedimenti terapeutici citati, e meglio che questi avevano lo scopo di mantenere lo stato di salute dell'assicurato che comunque sarebbe mutato per le conseguenze derivanti dalle alterazioni degenerative, a prescindere dalle conseguenze infortunistiche. Nella sentenza 35.2003.51 del 24 marzo 2004 il TCA ha ribadito che un provvedimento medico è da ritenere adeguato soltanto qualora possa contribuire ad un miglioramento dei disturbi secondo un grado sufficiente di verosimiglianza. 2.3.3.   Dalle tavole processuali emerge che RI 1, in seguito all’intervento chirurgico del 6 febbraio 2007, si è sottoposta a regolari visite di controllo ad opera del Dr. __________ presso la clinica __________ di __________. Lo specialista in chirurgia ortopedica ha dichiarato l’assicurata abile al lavoro al 50% a partire dal 1° giugno 2007 (cfr. doc. 31) e al 100% a partire dal 6 agosto 2007 (cfr. doc. 32). La completa funzionalità della spalla destra dell’insorgente - e, di conseguenza, la sua completa capacità lavorativa - è stata in seguito confermata in occasione delle ulteriori visite di controllo da parte del Dr. __________ (24 ottobre 2007, cfr. doc. 34; 21 febbraio 2008, doc. 35), del Dr. __________ (3 marzo 2008, cfr. doc. 36), del Dr. __________ (16 giugno 2008, cfr. doc. 38) e del Dr. __________ (cfr. doc. A3 p. 4). 2.3.4.   Chiamata ora a pronunciarsi, questa Corte constata che, a partire dal mese di agosto 2007 (cfr. doc. 32) l’assicurata è stata dichiarata pienamente abile nella propria attività lavorativa di impiegata d’ufficio. Peraltro, anche in sede di ricorso, l’insorgente non pretende di avere diritto a ulteriori indennità giornaliere, rispettivamente, a una rendita di invalidità (cfr. doc. I). In queste condizioni, vista la giurisprudenza federale riprodotta ai considerandi 2.3.1. e 2.3.2. di questa pronunzia, occorre concludere che l’Istituto assicuratore era legittimato a ritenere stabilizzato lo stato di salute, visto che mediante le cure mediche proposte non si trattava di incrementare, rispettivamente, di recuperare l'abilità lavorativa dell’insorgente, ma tutt’al più di evitarne il deterioramento (cfr., del resto, il doc. I, p. 4: “[…] essendo evidente che qualora la qui ricorrente non dovesse sottoporsi ai cicli di fisioterapia il di lei quadro clinico sarà destinato a peggiorare […]”). Nella misura in cui pretende di avere diritto ad ulteriori prestazioni di cura medica con l’obiettivo di conservare la sua capacità lavorativa (e, quindi, lucrativa), la ricorrente sembra postulare l’applicazione dell’art. 21 cpv. 1 lett. c LAINF, disposizione che prevede che, determinata la rendita, le prestazioni sanitarie e il rimborso delle spese (art. 10 a 13) sono accordati se il beneficiario abbisogna durevolmente di trattamento e cure per mantenere la capacità residua di guadagno. La richiesta dell’assicurata non può essere accolta. La disposizione legale appena citata torna in effetti applicabile soltanto a quell'assicurato che si trova già al beneficio di una rendita d'invalidità ai sensi dell'art. 18 LAINF (cfr. A. Maurer, Schweizerisches Unfallversicherungsrecht , Berna 1985, p. 382ss.; Ghélew/Ramelet/Ritter, op. cit., p. 112s.; Messaggio del Consiglio federale per una legge federale sull'assicurazione contro gli infortuni del 18.8.1976, p. 55). Ciò non è il caso dell'insorgente, per la quale il diritto ad una rendita d'invalidità non è mai stato in discussione. RI 1 ha nel frattempo ritrovato una piena capacità lavorativa nella sua precedente professione, circostanza quest'ultima non contestata. Resta inteso che, qualora lo stato di salute della ricorrente dovesse in futuro peggiorare, sarà suo diritto annunciare la ricaduta o le conseguenze tardive alla CO 1. In virtù dell'art. 11 OAINF, l'assicuratore LAINF convenuto sarà allora tenuto a riprendere l'erogazione delle prestazioni assicurative (cfr. Ghélèw/Ramelet/Ritter, op. cit., p. 71; Maurer, op. cit., p. 277). Né la LAINF né l’OAINF prevedono, al riguardo, un limite temporale. Pertanto, la pretesa potrà essere fatta valere anche qualora la ricaduta o le conseguenze tardive appaiano, per la prima volta, dieci o vent'anni dopo l'infortunio assicurato, e ciò indipendentemente dal fatto che, a quel momento, l'interessata sia o meno ancora assicurata. Rilevante è soltanto l'esistenza di un nesso di causalità. In esito alle considerazioni che precedono, questo Tribunale non può che confermare la decisione mediante la quale l’assicuratore LAINF resistente ha rifiutato la presa a carico di ulteriori cicli di fisioterapia. 2.4.   Indennità per menomazione dell’integrità 2.4.1.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op. cit., p. 121). Questi concetti sono stati ribaditi in una sentenza U 349/06 dell11 luglio 2007 nella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(DTF 115 V 147 consid. 1; cfr. DTF 133 V 224).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2.4.3.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L’__________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__________ et les premiers juges correspond dès lors bien au handicap du recourant." 2.4.5.   Nel caso di specie l’assicuratore LAINF resistente, sentito il parere del Dr. __________, ha assegnato all’assicurata un’IMI del 5% (cfr. doc. A3). Chiamato a pronunciarsi su una questione di carattere medico, questo Tribunale, considerata anche l'assenza di pareri specialistici divergenti, ritiene che l’apprezzamento espresso dal medico dell’assicuratore resistente possa validamente costituire da supporto probatorio al presente giudizio, senza che si riveli necessario esperire ulteriori accertamenti medici richiesti dal rappresentante della ricorrente (cfr. doc. I; sul valore probatorio delle valutazioni del medico dell’__________,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I 1018/06 del 16 gennaio 2008 consid. 5.3.; SVR 2003 IV Nr.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 2a ed., pag. 274; U. Kieser, Das Verwaltungsverfahren in der Sozialversicherung , Zurigo 1999, p. 212; Kölz/Häner, Verwaltungsverfahren und Verwaltungsrechtspflege des Bundes , 2a ed., p. 39 e p. 117), senza che ciò costituisca una lesione del diritto di essere sentito sancito dall'art. 29 cpv. 2 Cost. (DTF 124 V 94 consid. 4b, 122 V 162 consid. 1d e sentenza ivi citata). L a tabella n. 1 edita dalla Divisione medica dell’__________ (“ Atteinte à l’intégrité résultant de troubles fonctionnels des membres supérieurs ”), per quanto concerne la spalla, stabilisce il tasso di menomazione all’integrità in funzione del grado di mobilità della stessa. Tale tabella prevede un’IMI dello 0% nel caso di una periartropatia omero-scapolare di grado lieve, e del 10% se di grado medio. L a tabella n. 5 (“ Atteinte à l’intégrité résultant d’arthroses ”), per quanto concerne l’omero, stabilisce il tasso di menomazione all’integrità in funzione della gravità dell’artrosi. Tale tabella prevede un’IMI dello 0% nel caso di un’omartrosi di grado lieve, e del 5-10% se di grado medio. Giova inoltre ribadire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dall'assicurata non possono essere prese in considerazione nella valutazione dell'indennità per menomazione all'integrità. La pretesa ricorsuale si rivela, conseguentemente,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