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35.2010.59 vom 19. Januar 2011</w:t>
      </w:r>
    </w:p>
    <w:p>
      <w:r>
        <w:t>TI Tribunale d'appello, 2011-01-19, IT</w:t>
      </w:r>
    </w:p>
    <w:p>
      <w:r>
        <w:rPr>
          <w:b/>
        </w:rPr>
        <w:t xml:space="preserve">Quelle: </w:t>
      </w:r>
      <w:r>
        <w:t>https://mcp.opencaselaw.ch/entscheid/ti_gerichte_35.2010.59</w:t>
      </w:r>
    </w:p>
    <w:p>
      <w:r>
        <w:t>FR: TI_GERICHTE 35.2010.59 du 19 janvier 2011</w:t>
      </w:r>
    </w:p>
    <w:p>
      <w:r>
        <w:t>IT: TI_GERICHTE 35.2010.59 del 19 gennaio 2011</w:t>
      </w:r>
    </w:p>
    <w:p>
      <w:pPr>
        <w:pStyle w:val="Heading2"/>
      </w:pPr>
      <w:r>
        <w:t>Regeste</w:t>
      </w:r>
    </w:p>
    <w:p>
      <w:r>
        <w:t>Incidente stradale con politrauma. Valutazione del diritto alla rendita d'invalidità e dell'entità della menomazione all'integrità</w:t>
      </w:r>
    </w:p>
    <w:p>
      <w:pPr>
        <w:pStyle w:val="Heading2"/>
      </w:pPr>
      <w:r>
        <w:t>Erwägungen</w:t>
      </w:r>
    </w:p>
    <w:p>
      <w:r>
        <w:rPr>
          <w:b/>
        </w:rPr>
        <w:t>E. 18</w:t>
      </w:r>
    </w:p>
    <w:p>
      <w:r>
        <w:t>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RI 1 non condivide l’apprezzamento dell’esigibilità lavorativa che il medico di __________ dell’CO 1 ha enunciato in occasione della visita circondariale di chiusura del 5 giugno 2009 (cfr. doc. I). Questa Corte osserva che, all’inizio del mese di aprile 2009, l’assicurata era già stata sottoposta a una valutazione delle capacità funzionali (EFL) per conto dell’assicuratore resistente, eseguita dal dott. __________, medico EFL-AMC, presso la fisio __________. In quel contesto, alla ricorrente è stato diagnosticato uno stato dopo incidente stradale del 31 agosto 2006 con frattura aperta dei metacarpi II, III, IV e V e della falange prossimale del V dito, stato dopo fasciatomia e osteosintesi con fili di Kirschner II, IV e V dito, stato dopo rimozione dei fili di Kirschner, nonché sviluppo di una sindrome dolorosa cronica loco-regionale (CRPS) (doc. 163, p. 2). Dal profilo oggettivo, il dott. __________ ha refertato una lieve ipotrofia del polpaccio destro, l’assenza di segni di versamento intra-articolare o di instabilità della caviglia destra, come un’assenza di gonfiore a livello delle caviglie al termine dei due giorni di test. Egli è quindi pervenuto alla conclusione che l’assicurata soffriva di un dolore di tipo misto, con prevalenza della componente neuropatica (allodinia) (doc. 163, p. 3). Per quanto qui di interesse, RI 1 è stata dichiarata in grado di riprendere l’esercizio della sua precedente attività lavorativa a tempo pieno ma con un discapito di rendimento del 25% e con alcune limitazioni particolari attinenti all’utilizzo delle scale a pioli (mai), al scendere/salire le scale (raramente) e al sollevare pesi oltre i 12.5 kg (raramente) (doc. 163, p. 4). Per contro, essa presenta una completa capacità in attività lavorative molto leggere, da svolgere in posizione prevalentemente seduta (doc. 163, p. 4). Come è già stato anticipato, il 5 giugno 2009 ha avuto luogo la visita medica di chiusura a cura del dott. __________, spec. FMH in chirurgia ortopedica e ortopedia. In quell’occasione, il medico fiduciario appena citato ha diagnosticato dei persistenti dolori al piede destro in stato dopo frattura metatarsale II, III, IV e V nonché della falange prossimale del V dito. Egli ha oggettivato una muscolatura della gamba destra praticamente simmetrica rispetto alla sinistra, un minimo gonfiore dell’avampiede e, per il resto, uno stato rimasto invariato rispetto a quanto era stato refertato dal suo collega dott. __________. Il dott. __________ ha quindi valutato l’esigibilità lavorativa nel seguente modo: " (…). La paziente può sollevare pesi fino all’altezza dei fianchi fino a 10 kg senza limitazione. Può sollevare pesi fino a 25 kg soltanto talvolta. Mai superiori ai 25 kg. Può sollevare pesi fino all’altezza del petto anche oltre i 5 kg senza nessuna limitazione. Non ha nessuna limitazione per quanto riguarda l’effettuazione di lavori leggeri e di precisione. Può fare lavori medi spesso mentre lavori pesanti e molto pesanti non possono più essere svolti. Non vi è nessuna limitazione per quanto riguarda la rotazione della mano. I lavori sopra la testa possono essere eseguiti senza limitazioni. Può talvolta eseguire anche lavori con rotazione del busto. Può mantenere la posizione seduta e inclinata in avanti senza limitazioni mentre può mantenere la posizione in piedi e inclinata in avanti spesso. La posizione inginocchiata può essere mantenuta solo di rado e talvolta può assumere la posizione con flessione delle ginocchia. Sia i lavori in posizione seduta che in posizione in piedi possono essere svolti senza limitazioni. La paziente può camminare senza limitazione per tragitti anche oltre i 50 m. Può effettuare tragitti lunghi soltanto talvolta. Di rado può spostarsi su terreni sconnessi. Talvolta può salire e scendere le scale. Non può mai salire su scale a pioli. L’uso delle due mani è possibile normalmente, mentre l’equilibrio è possibile soltanto a condizione.” (doc. 168, p. 3s.) Nel quadro della procedura di opposizione, l’Istituto assicuratore ha dapprima interpellato il dott. __________, spec. FMH in chirurgia, attivo presso la __________ (doc. 189). Con apprezzamento del 30 marzo 2010 (doc. 190), il dott. __________ ha avallato in sostanza la valutazione dell’esigibilità lavorativa enunciata dal medico di circondario (“An der Zumutbarkeitsbeurteilung des Orthopäden Dr. __________ (Akt 168) sollte darum festgehalten werden.”), precisando che l’assunzione di analgesici quali il Dafalgan o il Ponstan non è atta a influenzare negativamente la capacità lavorativa dell’assicurata. Inoltre, sempre secondo il dott. __________, il medicamento Deanxit, un antidepressivo, non ha nulla a che vedere con il piede infortunato e, qualora sussistesse, un disturbo psichico costituirebbe un problema giuridico di adeguatezza. Nel corso del mese di luglio 2010, RI 1 è stata periziata, su ordine dell’amministrazione, dal dott. __________ __________, spec. FMH in psichiatria e psicoterapia, il quale non ha refertato alcun sintomo psicopatologico di rilevanza clinica (doc. 198, p. 4: “… da un punto di vista medico-psichiatrico non ci sono, con verosimiglianza preponderante, dei segni psicopatologici clinicamente rilevanti, in relazione causale naturale con l’evento infortunistico del 31.8.2006.”). Infine, sempre per conto dell’CO 1, l’assicurata si é sottoposta a un consulto da parte del dott. __________, spec. FMH in neurologia. Dal relativo referto, datato 21 settembre 2010 (doc. 211), si evince che lo specialista appena citato ha constatato uno stato neurologico nella norma, senza indizi per una neuropatia periferica nella regione del piede destro, né per una cefalea secondaria sintomatica da patologia endocranica. A suo avviso, la cefalea di cui soffre l’insorgente presenta invece tutte le caratteristiche di una cefalea muscolo-tensiva (“È possibile che una parte dei dolori derivi anche dalla regione cervicale dove la muscolatura si presenta molto contratta e la paziente stessa riferisce un miglioramento della cefalea con fisioterapia ambulatoriale cervicale …”). 2.3.4.   Secondo questa Corte, attentamente vagliata la documentazione medica agli atti e tenuto conto che i disturbi infortunistici sono circoscritti all’estremità inferiore destra, non vi è alcun motivo per ritenere che l’assicurata non sarebbe in grado di esercitare, a tempo pieno e con un rendimento completo, un’attività lavorativa leggera dal profilo dell’impegno fisico, da svolgere in posizione prevalentemente seduta, così come è del resto emerso dalla valutazione delle capacità funzionali eseguita nel mese di aprile 2009 (cfr. consid. 2.3.3.). Questo Tribunale non ignora che il medico curante dell’insorgente, dott.ssa __________, ha attestato, ancora il 16 novembre 2010, un’inabilità lavorativa residua del 25% (cfr. doc. C). Tuttavia, questa certificazione non appare suscettibile di rimettere in discussione la conclusione a cui il TCA è appena giunto. In effetti, oltre a non aver minimamente motivato la propria opinione, la dott.ssa __________ non ha neppure precisato se l’incapacità in questione é da riferire alla precedente professione dell’assicurata (nel qual caso, la sua valutazione concorderebbe con quella del dott. Vasic - cfr. doc. 163, p. 4) oppure ad attività alternative idonee. La ricorrente non può inoltre essere seguita allorquando sostiene che l’amministrazione non avrebbe adeguatamente tenuto conto del dolore cronico da lei avvertito, come pure degli effetti legati all’assunzione di determinati farmaci (cfr. doc. I). In proposito, il TCA osserva che fra le diagnosi ritenute dai dottori __________k, figura proprio quella di “sindrome dolorosa cronica loco-regionale” (doc. 163, p. 2), rispettivamente quella di “persistenti dolori al piede destro” (doc. 168, p. 3). D’altro canto, non può essere ignorato che in più occasioni è stata segnalata la presenza di un’ estensione della sintomatologia (cfr., ad esempio, il doc. 163, p. 9: “ Discrepanza tra l’assenza di una problematica clinica rilevante a livello della mano o dell’avambraccio ed una diminuita forza della mano bilaterale (sotto la norma). Dicrepanza tra l’entità di quanto affermato nel questionario di autovalutazione della capacità di rendimento (PACT-test) e le capacità funzionali osservate. La dichiarazione di forti dolori non corrisponde poco a malapena all’espressione sofferente avuta durante durante le attività richieste. (…). Discrepanza tra le marcate limitazioni funzionali della gamba interessata indicate e dimostrate e la solo minima atrofia muscolare della gamba destra: vedi anche misure massa muscolare riportate dal rapporto medico.” e il doc. 198, p. 3: “Il suo modo di presentare i sintomi e il suo atteggiamento/comportamento durante la situazione d’esame, lasciano invece presupporre, con grande probabilità, l’esistenza di una estensione dei sintomi , come peraltro già constatato in altre occasioni.” - il corsivo è del redattore). Ora, conformemente a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di modo che, nei casi in cui i dolori avvertiti da un assicurato non possono invece trovare una sufficiente correlazione sul piano oggettivo, la decisione non può che essere sfavorevole all'interessato (cfr., in questo senso, la STCA 35.2005.94 del 24 aprile 2006, 35.2002.4 del 22 settembre 2003, 35.2003.26 del 28 luglio 2003, 35.1999.90 del 13 settembre 2001, confermata dal TFA con sentenza U 347/01 del 9 gennaio 2003, 35.1998.57 del 21 settembre 2000, confermata dal TFA con giudizio U 429/00 del 13 marzo 2001, 35.1998.61 del 22 febbraio 1999 e 35.1998.10 del 19 febbraio 1999). In merito alla pretesa incidenza dei medicamenti assunti sul rendimento lavorativo, questa Corte non vede ragione per distanziarsi dal parere espresso al riguardo dal dott. __________ (doc. 190: “Die Arbeitsfähigkeit wird durch die einfachen Analgetika Dafalgan und Ponstan überhaupt nicht beeinträchtigt.”) e, a proposito del Deanxit, farmaco antidepressivo (cfr. referto 27 agosto 2008 del dott. __________ - doc. 139: “Attualmente la paziente si sente anche depressa e nervosa, motivo per cui è stata introdotta anche una terapia con Deanxit.”), il TCA si limita a osservare che la perizia specialistica elaborata dal dott. __________ ha consentito di escludere l’esistenza di una qualsiasi patologia di natura psichica (cfr. doc. 198). Dalle tavole processuali si evince che nel mese di novembre 2010 - dunque posteriormente alla data in cui è stata emanata la decisione su opposizione impugnata -, RI 1-RI 1 è caduta procurandosi in tal modo un trauma distorsivo al ginocchio destro. La lesione meniscale diagnosticata successivamente al sinistro appena citato, ha reso necessario un intervento artroscopico effettuato il 20 dicembre 2010 (cfr. doc. I, p. 7 e allegato al doc. VII). Secondo una costante giurisprudenza federale, la data di emanazione della decisione impugnata segna il limite temporale del potere cognitivo del giudice delle assicurazioni sociali (cfr. DTF 130 V 140 e 129 V 4). Spetta pertanto all’amministrazione esaminare se la ricorrente, dopo il rilascio della decisione del 14 ottobre 2010, ha subito un peggioramento (acquisito) del suo stato di salute in relazione di causalità con l’infortunio dell’agosto 2006 oppure in relazione con un nuovo infortunio assicurato e, se del caso, valutarne l’incidenza sull’esigibilità lavorativa (e dunque sul diritto a una rendita di invalidità). In simili condizioni non è necessario procedere a ulteriori atti istruttori, segnatamente alla perizia medica pluridisciplinare postulata dalla ricorrente (cfr. doc. I e VII).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Zurigo 1998, p. 39 e p. 117), senza che ciò costituisca una lesione del diritto di essere sentito sancito dall'art. 29 cpv. 2 Cost. (DTF 124 V 94 consid. 4b, 122 V 162 consid. 1d e sentenza ivi citata). Alla luce alle considerazioni che precedono, il TCA deve concludere che, dal punto di vista medico, l’assicurata non è più totalmente abile nella professione di ausiliaria di pulizie, precedentemente svolta. Nondimeno, sul mercato generale del lavoro esistono delle attività che essa sarebbe in grado di svolgere a tempo pieno e con un rendimento completo, nonostante il danno alla salute infortunistico.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2.3.5. Si tratta ora di valutare le conseguenze economiche del danno alla salute infortunistico. Per quanto concerne il reddito da valido , secondo l’CO 1, l'insorgente avrebbe guadagnato nel 2009 (cfr., a questo proposito, DTF 128 V 174 = RAMI 2002 U 467, p. 511ss.), qualora non fosse rimasta vittima dell’infortunio assicurato, un importo annuo di fr. 39'716 (cfr. doc. 178). Questo dato, desunto dalle informazioni fornite direttamente dagli ex datori di lavoro (cfr. doc. 171 e 174) e non contestato dalla ricorrente, può senz’altro essere fatto proprio dal TCA. 2.3.6.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2.3.7. Per determinare il reddito ancora esigibile dall'assicurata, l'assicuratore LAINF convenuto ha compiuto in sede amministrativa degli accertamenti presso alcune aziende ticinesi. Dai medesimi risulta che nelle attività alternative che essa dovrebbe essere in grado di esercitare tenuto conto delle sequele infortunistiche, e meglio l’assistente operatrice presso la __________, l’operaia su metalli presso la __________, l’operaia di spedizione presso la __________, la meccanica di apparecchi elettrici presso la __________ e, infine, l’assistente alla logistica presso la __________ __________, i dipendenti di tali ditte percepivano in media, nel 2009, un reddito annuo pari a fr. 40'382.20 (cfr. doc. 179).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dallo specchietto riassuntivo che figura sul doc. 179 si evince che sono 87 i posti di lavoro che entrano in considerazione, che i salari minimo e massimo ammontano, rispettivamente, a fr. 29’707 e a fr. 62'295, e infine che quello medio è di fr. 40'905. A proposito dei posti di lavoro considerati dall’INSAI, va osservato che taluni, specificatamente le DPL 8938 e 10494, richiedono molto spesso/spesso il mantenimento della posizione eretta di lunga durata. Se ciò appare conforme all’esigibilità lavorativa descritta dal dott. __________ in occasione della visita medica di chiusura del 5 giugno 2009 (cfr. doc. 168, p. 3), il TCA non può ignorare che dalla valutazione delle capacità funzionali dell’aprile 2009, era invece emerso che l’insorgente presentava una piena abilità lavorativa in attività molto leggere da svolgere in posizione prevalentemente seduta (doc. 163, p. 4). La questione non merita comunque ulteriori approfondimenti, poiché l’insorgente non potrebbe pretendere di aver diritto a una rendita, neppure se il grado della sua invalidità venisse determinato in applicazione dei dati statistici (e non in base alle DPL dell’CO 1). 2.3.8. Conformemente alla giurisprudenza federale di cui si è detto al considerando 2.3.6., per la determinazione del reddito ipotetico da invalido tornano applicabili i dati statistici nazionali contenuti nella Tabella TA 1. Utilizzando i dati forniti dalla tabella TA 1, l’assicurata,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4'116. Riportando questo dato su 41.6 ore ( cfr. tabella pubblicata sul sito web dell’Ufficio federale di statistica), esso ammonta a fr. 4'280.64 mensili oppure a fr. 51'367.68 per l'intero anno (fr. 4'280.64 x 12). Dopo adeguamento all'indice dei salari nominali, si ottiene, per il 2009 (cfr. la relativa tabella pubblicata sul sito web dell’UFS), un reddito annuo di fr. 52'446.40. L’assicurata, quale ausiliaria di pulizia, avrebbe guadagnato, nel 2009, fr. 39'716/anno per un’occupazione a tempo pieno. Tale reddito si situa sotto la media dei salari per un'attività equivalente (Tabella TA 1 2008, p.to 93, livello di qualifica 4: fr. 3’465 riportato su 41.6 ore/settimana = fr. 3'603.60 x 12 mesi = fr. 43'243.20 + adeguamento 2009 all'indice dei salari nominali = fr. 44’151.30 ). Pertanto, in applicazione della giurisprudenza citata al considerando 2.3.6. in fine, il reddito statistico da invalido (fr. 52'446.40) va ridotto del 5.04%, percentuale corrispondente al gap salariale ( per la parte percentuale che supera la soglia del 5%) , e si attesta pertanto a fr. 49'803.10 (risultato intermedio). 2.3.9.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questo Tribunale può esimersi dall’approfondire tale aspetto, visto che, anche applicando la decurtazione massima consentita dalla giurisprudenza federale (25%), l’assicurata non raggiunge la soglia minima di invalidità richiesta dall’art. 18 cpv. 1 LAINF (10% almeno). Infatti, confrontando i fr. 37'352.32 (fr. 49'803.10 - 25%) al reddito che essa avrebbe potuto conseguire se non fosse intervenuto l’infortunio, e cioè fr. 39'716, si ottiene un grado di invalidità del 5.95%, insufficiente per fondare il diritto a una rendita. Nella misura in cui all’assicurata è stato negato il diritto alla rendita di invalidità, la decisione su opposizione dell’CO 1 merita pertanto di essere confermata. 2.4. Entità dell’IMI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sentito il parere del proprio medico di __________, ha riconosciuto all’assicurata un’IMI del 5% (doc. 180). Questa la valutazione che il dott. __________ ha espresso in occasione della visita medica di chiusura del 5 giugno 2009: " (…). REFERTO Si tratta di una paziente che a seguito di un infortunio del 31.8.2006, ha riportato una frattura complessa esposta dei metatarsi II, III, IV e V e della falange prossimale del V dito. Come esiti durevoli nella visita odierna si reperiscono ancora dolori costanti a livello dell’avampiede con segni di fascite con conseguente difficoltà negli spostamenti e dolori che la costringono ad assumere medicamenti anti-infiammatori con una certa frequenza. VALUTAZIONE 5%. GIUSTIFICAZIONE Ritengo che gli attuali disturbi siano paragonabili a un’artrosi di grado medio dell’avampiede. Artrosi che secondo la Tabella 5.2 viene indennizzata tra il 5 e il 10%. Valuto quindi una menomazione dell’integrità fisica del 5%.” (doc. 167) Nel quadro della procedura di opposizione, il dott. __________ si è dichiarato d’accordo con la valutazione del medico di circondario e ha precisato che una menomazione all’integrità del 5% si situa persino già al limite superiore del margine d’apprezzamento (cfr. doc. 190). Con la propria impugnativa, RI 1 ha postulato il riconoscimento di un’indennità minima del 10%, facendo presente che essa “… deve convivere giornalmente con dei dolori acuti cronici.” (doc. I, p. 5). Chiamato a pronunciarsi su una questione di carattere medico, questo Tribunale - considerata anche l'assenza di pareri medici specialistici divergenti -, ritiene che l’apprezzamento espresso dal medico fiduciario dell’amministrazione possa validamente costituire da supporto probatorio al presente giudizio, senza che si riveli necessario esperire ulteriori accertamenti ( sul valore probatorio delle valutazioni del medico dell’__________, cfr. STF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In particolare, il TCA sottolinea che da più parti è stata constatata un’ estensione dei dolori da parte della ricorrente (si veda quanto indicato in proposito al consid. 2.3.4.). In questo contesto, giova ricordare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soggettive patite dall'assicurata possono essere prese in considerazione nella valutazione dell'indennità per menomazione all'integrità, solo se e nella misura in cui correlano con un danno alla salute oggettivabile. La pretesa ricorsuale si rivela, conseguentemente,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