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35.2010.14 vom 5. Juli 2010</w:t>
      </w:r>
    </w:p>
    <w:p>
      <w:r>
        <w:t>TI Tribunale d'appello, 2010-07-05, IT</w:t>
      </w:r>
    </w:p>
    <w:p>
      <w:r>
        <w:rPr>
          <w:b/>
        </w:rPr>
        <w:t xml:space="preserve">Quelle: </w:t>
      </w:r>
      <w:r>
        <w:t>https://mcp.opencaselaw.ch/entscheid/ti_gerichte_35.2010.14</w:t>
      </w:r>
    </w:p>
    <w:p>
      <w:r>
        <w:t>FR: TI_GERICHTE 35.2010.14 du 5 juillet 2010</w:t>
      </w:r>
    </w:p>
    <w:p>
      <w:r>
        <w:t>IT: TI_GERICHTE 35.2010.14 del 5 luglio 2010</w:t>
      </w:r>
    </w:p>
    <w:p>
      <w:pPr>
        <w:pStyle w:val="Heading2"/>
      </w:pPr>
      <w:r>
        <w:t>Regeste</w:t>
      </w:r>
    </w:p>
    <w:p>
      <w:r>
        <w:t>Caduta da motocicletta, varie lesioni al ginocchio. Indennità per menomazione dell'integrità, di cui l'assicurato a torto contesta la percentuale</w:t>
      </w:r>
    </w:p>
    <w:p>
      <w:pPr>
        <w:pStyle w:val="Heading2"/>
      </w:pPr>
      <w:r>
        <w:t>Erwägungen</w:t>
      </w:r>
    </w:p>
    <w:p>
      <w:r>
        <w:rPr>
          <w:b/>
        </w:rPr>
        <w:t>E. 1</w:t>
      </w:r>
    </w:p>
    <w:p>
      <w:r>
        <w:t>all’assicurato. Del resto, proprio per l’estrema difficoltà di una prognosi attendibile riguardo all’evoluzione di una gonartrosi e come evidenziato sia dai medici dell’CO 1 che dal Dr. __________, in caso di futuro peggioramento l’CO 1 potrà, in applicazione dell’art. 36 cpv. 4 OAINF, valutare la possibilità di una revisione della percentuale di IMI. La Tabella 5.2 allestita dall'CO 1, afferente alla menomazione all’integrità risultante da artrosi, non prevede alcuna IMI in caso di artrosi di grado leggero, mentre giustifica l’attribuzione di un’indennità del 5-15% nel caso di un’artrosi femoro-tibiale di grado medio. La Tabella 6.2 allestita dall'CO 1, afferente alla menomazione all’integrità risultante da instabilità degli arti, non prevede alcuna IMI in caso di instabilità di grado leggero, mentre giustifica l’attribuzione di un’indennità dello 0-5% in caso di lesione di uno o due legamenti crociati di un ginocchio con residuale instabilità di media entità. In concreto, ritenuto che si è instaurato un danno durevole, in quanto definitivo, e meglio una residuale condropatia femoro-tibiale laterale, senza maggior incongruenza, la valutazione di un’IMI del 7,5% può essere fatta propria dal TCA. Giova, infine, ribadire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altresì, Th. Frei, Die Integritätsentschädigung nach Art. 24 und 25 des Bundesgesetzes über die Unfallversicherung, Tesi Friborgo 1998, p. 40s.). Ai fini della determinazione dell’IMI, occorre perciò fare astrazione dai disturbi soggettivamente accusati dall’assicurato che non trovano correlazione sul piano oggettivo. In effetti, se si tenesse conto di disturbi (soltanto) soggettivamente risentiti, non si giungerebbe più ad una valutazione astratta e egualitaria di una menomazione all’integrità. Alla luce di quanto esposto, la decisione dell'CO 1 di assegnare al ricorrente un’IMI del 7,5% è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