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35.2009.7 vom 22. Juni 2009</w:t>
      </w:r>
    </w:p>
    <w:p>
      <w:r>
        <w:t>TI Tribunale d'appello, 2009-06-22, IT</w:t>
      </w:r>
    </w:p>
    <w:p>
      <w:r>
        <w:rPr>
          <w:b/>
        </w:rPr>
        <w:t xml:space="preserve">Quelle: </w:t>
      </w:r>
      <w:r>
        <w:t>https://mcp.opencaselaw.ch/entscheid/ti_gerichte_35.2009.7</w:t>
      </w:r>
    </w:p>
    <w:p>
      <w:r>
        <w:t>FR: TI_GERICHTE 35.2009.7 du 22 juin 2009</w:t>
      </w:r>
    </w:p>
    <w:p>
      <w:r>
        <w:t>IT: TI_GERICHTE 35.2009.7 del 22 giugno 2009</w:t>
      </w:r>
    </w:p>
    <w:p>
      <w:pPr>
        <w:pStyle w:val="Heading2"/>
      </w:pPr>
      <w:r>
        <w:t>Regeste</w:t>
      </w:r>
    </w:p>
    <w:p>
      <w:r>
        <w:t>1/04 inf.quale passeggera di una moto:frattura piatto tibiale.10/08:rendita28% ma non IMI.In grado di esercitare al100%attiv.+leggera di quella abituale di tecnico bruciatorista.Reddito da inv.:DPL. Grado di inv.28%. Rettam.negato IMI sulla base della valut.medico fiduc.dell'ass.LAINF (tab.5.2., 18)</w:t>
      </w:r>
    </w:p>
    <w:p>
      <w:pPr>
        <w:pStyle w:val="Heading2"/>
      </w:pPr>
      <w:r>
        <w:t>Erwägungen</w:t>
      </w:r>
    </w:p>
    <w:p>
      <w:r>
        <w:rPr>
          <w:b/>
        </w:rPr>
        <w:t>E. 1</w:t>
      </w:r>
    </w:p>
    <w:p>
      <w:r>
        <w:t>che, fondandosi sull’apprezzamento del Dr. med. __________, ha ritenuto l’assicurata in grado di esercitare a tempo pieno e con rendimento completo un’attività più leggera della sua occupazione abituale di tecnico bruciatorista. Giova, infine, rilevare che le opportunità di reperire un'attività conciliabile con i disturbi accusati dall'assicurata, non devono essere considerate nel caso presente irrealistiche o eccezionali ai sensi della giurisprudenza federale (cfr. RCC 1991, p. 332 consid. 3b e 1989, p. 331 consid. 4a; Plädoyer 1995 n. 1 p. 67 consid. 5c). In questo contesto, va rammentato che il concetto d’invalidità è riferito a un mercato del lavoro equilibrato, nozione quest’ultima teorica ed astratta implicante, da una parte, un certo equilibrio tra offerta e domanda di manodopera e, dall’altra, un mercato del lavoro strutturato in modo tale da offrire una gamma di posti di lavoro diversificati (cfr. STF 8C_709/2008 del 3 aprile 2009 consid. 2.3.; DTF 110 V 273 e Jean-Maurice Frésard/Margit Moser-Szeless in Schweizerisches Bundesverwaltungsrecht, Soziale Sicherheit, 2. edizione, n. 170 p. 899). Certo, non possono essere ignorati gli sforzi e gli inconvenienti che la messa a profitto della residua capacità lavorativa comporterà per l’insorgente. Ciò nondimeno, essi non appaiono nè sproporzionati nè inesigibili, ricordato ancora che secondo un principio generale del diritto delle assicurazioni sociali, l'assicurato ha l'obbligo di intraprendere tutto quanto può da lui essere ragionevolmente preteso per ovviare nel miglior modo possibile alle conseguenze delle sue affezioni invalidanti (obbligo di ridurre il danno cfr. STFA P 2/06 del 18 agosto 2006; DTF 123 V 96 consid. 4c; DTF 113 V 28 consid. 4a e riferimenti ivi citati). Se, malgrado tale impegno, un'occupazione confacente non è reperibile in concreto, questo è dovuto alla congiuntura del momento, per la quale, considerata la nozione di mercato equilibrato del lavoro, l'assicurazione contro gli infortuni non è tenuta a rispondere (DTF 110 V 276 consid. 4c; RCC 1991 p. 332 consid. 3b; P. Omlin, Die Invalidität in der obligatorischen Unfallversicherung, Tesi Friborgo 1995, p. 83). Parimenti estranei all'invalidità sono l'età e la mancanza di formazione dell'interessato, fattori che, di per sé, non possono influire sulla sua determinazione. Nella DTF 107 V 21 consid. 2c, la nostra Corte federale ha stabilito che l'assicurazione per l'invalidità - ma lo stesso vale anche per l'assicurazione contro gli infortuni - non è tenuta a rispondere, qualora l'assicurato, in ragione della sua età, di una carente formazione oppure a causa di difficoltà di apprendimento o linguistiche, non riesce a trovare concretamente un'occupazione (giurisprudenza confermata dal TFA con una sentenza U 156/05 del 14 luglio 2006, consid. 5). 2.4.6.   Si tratta ora di valutare le conseguenze economiche del danno alla salute infortunistico. Per quanto concerne il reddito da valido , secondo l’CO 1, l'insorgente avrebbe guadagnato, nel 2008 (cfr., a questo proposito, DTF 128 V 174 = RAMI 2002 U 467, p. 511ss.), qualora non fosse rimasta vittima dell’infortunio assicurato, un importo annuo di fr. 63'197.70 (cfr. doc. 380, 385, 369, 286). . Questo dato, desunto dalle informazioni fornite direttamente dalla ditta __________ e non contestato dalla ricorrente, può senz’altro essere fatto proprio dal TCA. 2.4.7. Per quanto riguarda invece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2.4.8.   Nel caso in esame per determinare il reddito ancora esigibile dall'assicurata, l'assicuratore LAINF resistente ha compiuto in sede amministrativa degli accertamenti presso cinque aziende ticinesi. CO 1 ha indicato che dai medesimi risulta che nelle attività leggere che l'insorgente sarebbe in grado di esercitare tenuto conto dei postumi infortunistici residuali, e meglio il cablatore presso la __________ di __________, la cassiera di negozio do-it presso ____________________, l’operaia di fabbrica presso la ____________________, la programmatrice presso la ____________________ e l’operaia addetta alla fabbricazione di trapani presso la __________, i dipendenti di tali ditte percepivano in media, nel 2008, un reddito annuo pari a fr. 45’808.-- (cfr. doc. 366). D’altro canto, sempre in conformità alla giurisprudenza evocata sopra, l'assicuratore infortuni ha fornito informazioni sul numero globale dei posti di lavoro che entrano in linea di conto alla luce degli impedimenti presentati dall'assicurata, sul salario massimo e minimo, così come sul salario medio. In effetti, dalla tabella prodotta in allegato al doc. 366 si evince che sono 85 i posti di lavoro che entrano in considerazione, che i salari minimo e massimo ammontano, rispettivamente, a fr. 29’249.-- e a fr. 65’819.--, e infine che quello medio è di fr. 43’384.--. Il TCA constata che il valore considerato dall’assicuratore LAINF resistente (fr. 45'808.--) è superiore del 5.29% rispetto alla media dei salari medi (fr. 43'384.--). In base alla giurisprudenza federale, ciò non è però sufficiente per dubitare della rappresentatività del reddito da invalido stabilito in base alle DPL. In una sentenza U 594/06 del 26 aprile 2007, l’Alta Corte è pervenuta a questa stessa conclusione trattandosi di una differenza dell’8% circa (cfr., pure, la STCA 35.2005.90 del 22 maggio 2006 consid. 2.9., in cui questo Tribunale ha deciso di fare propria la prassi dell’CO 1 secondo la quale sono di principio tollerati scostamenti sino al 10% ). Inoltre questa Corte ritiene che i cinque posti di lavoro segnalati CO 1 rispettino le limitazioni funzionali presentate dalla ricorrente e descritte dal medico di __________ (cfr. doc. 343; consid. 2.4.3.). In effetti, da una parte, tali impieghi richiedono soltanto una formazione empirica. Dall’altra, gli stessi implicano il sollevamento di pesi di al massimo 10kg e vanno svolti principalmente in posizione seduta (cfr. doc. 366). Per quanto attiene all’attività di programattrice presso la __________, la quale prevede talvolta la posizione seduta e spesso la posizione in piedi, va osservato che in ogni caso il Dr. med. __________ ha indicato che la ricorrente può spesso assumere la posizione di lunga durata in piedi (cfr. doc. 343; consid. 2.4.3). Ne discende che il reddito da invalido è stato validamente determinato in base alle DPL. Esso ammonta a fr. 45’808.-- . Decurtazioni sul reddito da invalido stabilito in applicazione delle DPL non possono entrare in linea di conto, considerato il sistema stesso su cui si fonda questa modalità di fissazione del reddito (cfr. DTF 129 V 472, consid. 4.2.3). Il grado di invalidità della ricorrente - stabilito confrontando i fr. 45'808.-- al reddito che essa avrebbe potuto conseguire se non fosse intervenuto l’infortunio, e cioè fr. 63'197.70 (cfr. consid. 2.4.6.) - è del 27.52%, arrotondato al 28% secondo la giurisprudenza di cui alla DTF 130 V 121, consid. 3.2. = SVR 2004 UV Nr. 11 p. 41. Nella misura in cui, con la decisione su opposizione impugnata, CO 1 ha riconosciuto a RI 1 una rendita di invalidità del 28%, il suo ricorso deve essere respinto. 2.5. Indennità per menomazione dell’integrità 2.5.1.   Secondo l'art. 24 cpv. 1 LAINF, l'assicurato ha diritto ad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mentale o psichica, indipendentemente dalla capacità di guadagno,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Questi concetti sono stati ribaditi in un sentenza U 349/06 dell11 luglio 2007 nel quale il Tribunale federale ha rilevato: " Occorre poi ricordare al ricorrente, come già spiegato dal giudice cantonale, che secondo giurisprudenza la menomazione dell'integrità è valutata in modo astratto, uguale per tutti. Da questo profilo, l'IMI si distingue quindi dall'indennità per torto morale ai sensi del diritto civile, per il quale si procede ad una valutazione individuale del danno avuto riguardo alle particolarità del caso. Contrariamente alla valutazione del torto morale secondo il diritto privato, la fissazione dell'IMI può prendere a base criteri medici di carattere generale, risultanti da esami comparativi di postumi infortunistici analoghi, senza tener conto delle specifiche limitazioni che la lesione è suscettibile di comportare per un determinato assicurato. In altri termini, l'importo dell'IMI non dipende dalle circostanze del caso concreto, ma da una valutazione medico-teorica del danno alla salute fisica o psichica, prescindendo da fattori di carattere soggettivo ( DTF 115 V 147 consid. 1; cfr. DTF 133 V 224 ). In quest'ordine di idee, la Corte cantonale ha rettamente rilevato che la circostanza che l'insorgente, a causa delle conseguenze dell'infortunio, possa essere stato costretto a modificare le proprie abitudini di vita, non può essere presa in considerazione nella valutazione della menomazione all'integrità di cui è portatore." 2.5.3.   Secondo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 3.4 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CNA et les premiers juges correspond dès lors bien au handicap du recourant." 2.5.5.   Nel caso di specie l’assicuratore LAINF resistente, sentito il parere del Dr. med. __________, ha negato all’assicurata il diritto a un’IMI. Questa la valutazione che il medico __________ ha espresso in occasione della visita medica di chiusura del 14 aprile 2008: " REFERTO Diagnosi: frattura al piatto tibiale esterno, tibia sinistra. Il 30.1.2004 osteosintesi mediante due viti e il 7.9.2004 artroscopia diagnostica – resezione plica infra-patellare più AMO ginocchio sinistro da parte del dott. __________. Residuano irregolarità lievi dello strato cartilagineo femoro-tibiale con cicatrice esterna del ginocchio affossata e riferita dolente ed esiti di successivo intervento di asportazione granuloma cicatriziale. VALUTAZIONE Non si arriva a un livello minimo per poter valutare una IMI. GIUSTIFICAZIONE La tabella Suva 5 considera, come lesione minima valutabile, un’artrosi media del ginocchio, che non è la condizione in cui si trova oggi la paziente.” (Doc. 342) Come già esposto sopra (cfr. consid. 2.4.3.), il Dott. __________, nel marzo 2007, ha indicato che il danno biologico (concetto giuridico __________ corrispondente alla menomazione all’integrità fisica, mentale o psichica ai sensi della Lainf; cfr. STCA 35.2008.92 dell’11 marzo 2009 consid. 2.8.) era valutabile nel 16% (cfr. doc. 352 = V2). Nel mese di dicembre 2008 egli ha poi attestato una menomazione importante e durevole dell’integrità fisica e che, considerando lo stato di discreta sofferenza cartilaginea, i disturbi dolorosi su base neurogena e i modesti esiti cicatriziali antiestetici del ginocchio sinistro, poteva nel complesso essere valutata almeno nel 10% equamente (Doc. 398 = A2). Questa Corte, chiamata a pronunciarsi su una questione di carattere medico, attentamente vagliata la documentazione presente all’inserto ritiene che il medico __________ abbia reso il proprio referto sulla base di accertamenti approfonditi e completi in piena conoscenza dell’incarto. Il Dr. med. __________ ha, inoltre, esposto dettagliatamente e in modo convincente i motivi per cui, nel caso concreto, il grado di menomazione durevole non raggiunge almeno il 5%. In particolare, se si considera che la Tabella 5.2 allestita dall'CO 1 afferente alla menomazione all’integrità risultante da artrosi prevede che solo l’artrosi media del ginocchio giustifica l’attribuzione di un’indennità, la conclusione del Dr. med. __________ - secondo cui, residuando unicamente irregolarità lievi dello strato cartilagineo femoro-tibiale (cfr. RM del ginocchio sinistro del gennaio 2007, doc. 237), il grado di IMI non raggiunge il 5% (cfr. doc. 342) - può essere fatta propria dal TCA. Inoltre, relativamente alla cicatrice esterna al ginocchio, la tabella 18 relativa alla menomazione all'integrità in caso di danni alla pelle indica che per cicatrici da bruciature si attribuisce, secondo la gravità e l'estensione, un'IMI dal 5% fino al 50%. E’ specificato che per cicatrici sul volto o alle mani viene assegnata un’IMI più elevata rispetto ai casi di cicatrici in zone coperte del corpo. In casu la cicatrice al ginocchio si trova in una zona del corpo poco visibile. La medesima è stata d’altronde definita dal Dott. __________ stesso come modesta (cfr. doc. 398 = A2). Di conseguenza il fatto che per tale cicatrice non sia stata riconosciuta un’IMI non risulta censurabile. A titolo di confronto è, altresì, utile segnalare che questa Corte, con sentenza 35.2003.53 del 1° marzo 2004, confermata dall’Alta Corte con giudizio U 102/04 del 20 settembre 2004, ha ritenuto adeguata un’IMI del 5% nel caso di un assicurato presentante un a cicatrice sul viso, relativa a una ferita con una motosega, che si estendeva dalla radice del naso alla fronte sopra il sopracciglio sinistro. La menomazione appena citata risulta più grave di quella lamentata dall’assicurata. Del resto questo Tribunale non risulta confrontato con validi indizi concreti suscettibili di far dubitare della fondatezza della valutazione formulata dal Dr. med. __________. Il Dott. __________ ha indicato che l’assicurato avrebbe diritto a un’IMI, quantificata dapprima nel 16% e poi ridotta al 10%, senza motivare dettagliatamente la sua affermazione, bensì limitandosi a fare riferimento a una discreta sofferenza cartilaginea, a esiti cicatriziali modesti e a disturbi dolorosi su base neurogena (cfr. doc. 398 = A2). A quest’ultimo riguardo è utile osservare che il Dr. med. __________, già nel novembre 2006, aveva, però, rilevato uno stato neurologico nella norma, ad eccezione di una ipo e disestesia nel territorio di innervazione del nervo safeno sinistro presumibilmente dovuta a neurinomi lungo il suo decorso (cfr. doc. 221). Il Prof. Dr. med. __________, che il 30 maggio 2007 ha operato l’assicurata, asportando una piccola cisti sebacea a livello mediale del ginocchio sinistro (cfr. doc. 269), il 6 dicembre 2007 ha altresì affermato che una lieve zona, alla percussione, provocava una lieve elettrizzazione: si trattava di una zona corrispondente al decorso del nervo infrapatellare ( ramo del nervo safeno; cfr. STCA 35.2007.28 del 19 novembre 2007 confermata dal TF con giudizio 8C_820/2007 del 29 ottobre 2008), che comunque presentava una sensibilità intatta nella zona tuberositaria (cfr. doc. 305). E’ vero che il Dr. med. __________, nel febbraio 2008, ha indicato che a suo parere la sintomatologia algica era legata a un neuroma del ramo infrapatellare del nervo safeno (cfr. doc. 324: consid. 2.4.3.). E’ altrettanto vero, tuttavia, che il medico appena menzionato ha precisato che il problema principale era comunque connesso ai dolori intra-articolari (cfr. doc. 324; consid. 2.4.3.). Inoltre, in ogni caso, per una simile diagnosi non è prevista un’IMI (cfr. Allegato 3 all’OAINF; tabelle allestite dall’CO 1). Giova, infine, ribadire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In questo senso le sofferenze soggettive patite dall'assicurata, non possono essere prese in considerazione nella valutazione dell'indennità per menomazione all'integrità. In simili condizioni, nel caso presente non si rivelano necessari ulteriori approfondimenti medici (cfr. consid. 2.4.5.). La decisione su opposizione del 17 dicembre 2008 merita di essere confermata anche nella misura in cui all’assicurata è stata negata un’IMI.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