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35.2008.96 vom 18. März 2009</w:t>
      </w:r>
    </w:p>
    <w:p>
      <w:r>
        <w:t>TI Tribunale d'appello, 2009-03-18, IT</w:t>
      </w:r>
    </w:p>
    <w:p>
      <w:r>
        <w:rPr>
          <w:b/>
        </w:rPr>
        <w:t xml:space="preserve">Quelle: </w:t>
      </w:r>
      <w:r>
        <w:t>https://mcp.opencaselaw.ch/entscheid/ti_gerichte_35.2008.96</w:t>
      </w:r>
    </w:p>
    <w:p>
      <w:r>
        <w:t>FR: TI_GERICHTE 35.2008.96 du 18 mars 2009</w:t>
      </w:r>
    </w:p>
    <w:p>
      <w:r>
        <w:t>IT: TI_GERICHTE 35.2008.96 del 18 marzo 2009</w:t>
      </w:r>
    </w:p>
    <w:p>
      <w:pPr>
        <w:pStyle w:val="Heading2"/>
      </w:pPr>
      <w:r>
        <w:t>Regeste</w:t>
      </w:r>
    </w:p>
    <w:p>
      <w:r>
        <w:t>Disturbi uditivi riconosciuti dall'assic.LAINF quale malattia prof. Assunto costi protesi e assegnato IMI. Entità IMI del 20% corretta:15% per diminuz.della capac.uditiva - tabella 12.4 (non prodotto attest.mediche in senso contrario a valutaz.medico assic.LAINF) + 5% per tinnitus - tabella 13</w:t>
      </w:r>
    </w:p>
    <w:p>
      <w:pPr>
        <w:pStyle w:val="Heading2"/>
      </w:pPr>
      <w:r>
        <w:t>Volltext</w:t>
      </w:r>
    </w:p>
    <w:p>
      <w:r>
        <w:t>Tessin Tribunale cantonale delle assicurazioni 18.03.2009 35.2008.96 Tessin Tribunale cantonale delle assicurazioni 18.03.2009 35.2008.96 Ticino Tribunale cantonale delle assicurazioni 18.03.2009 35.2008.96</w:t>
      </w:r>
    </w:p>
    <w:p>
      <w:r>
        <w:t>Disturbi uditivi riconosciuti dall'assic.LAINF quale malattia prof. Assunto costi protesi e assegnato IMI. Entità IMI del 20% corretta:15% per diminuz.della capac.uditiva - tabella 12.4 (non prodotto attest.mediche in senso contrario a valutaz.medico assic.LAINF) + 5% per tinnitus - tabella 13</w:t>
      </w:r>
    </w:p>
    <w:p>
      <w:r>
        <w:t>Raccomandata Incarto n. 35.2008.96 rs Lugano 18 marzo 2009 In nome della Repubblica e Cantone Ticino Il presidente del Tribunale cantonale delle assicurazioni Giudice Daniele Cattaneo con redattrice: Raffaella Sartoris Vacchini , vicecancelliera segretario: Fabio Zocchetti statuendo sul ricorso del 29 ottobre 2008 di RI 1 rappr. da: RA 1 contro la decisione su opposizione del 30 settembre 2008 emanata da CO 1 rappr. da: RA 2 in materia di assicurazione contro gli infortuni ritenuto, in fatto 1.1.   Il 13 giugno 2007 il Dr. med. __________, spec. FMH in otorinolaringoiatria e chirurgia cervico-facciale, ha chiesto all’CO 1 di esaminare la propria responsabilità per i disturbi uditivi presentati da RI 1 nato nel __________ e professionalmente esposto al rumore da molto anni (cfr. doc. 1). 1.2.   L’assicuratore LAINF ha ammesso il proprio obbligo di indennizzo a titolo di malattia professionale e ha assunto i costi di una protesi acustica “aperta” variante 2 bilaterale (cfr. doc. 14, 10, 17). 1.3.   Inoltre, esperiti gli accertamenti medico-amministrativi del caso, l’CO 1, con decisione formale del 15 luglio 2008, ha riconosciuto all’assicurato il diritto a un’indennità per menomazione dell’integrità del 15% (cfr. doc. 18). 1.4.   RI 1 ha personalmente interposto tempestiva opposizione contro il provvedimento citato, asserendo in buona sostanza che l’entità dell’IMI assegnatagli è troppo esigua (cfr. doc. 21, 22). Il 12 agosto 2008 il RA 1, per conto dell’assicurato, ha poi chiesto, a complemento dell’opposizione, di tenere conto nella determinazione del tasso complessivo dell’IMI del fatto che l’insorgente, oltre a presentare una perdita uditiva corrispondente a un‘IMI del 20%, lamenta un fischio continuo di entità grave e delle vertigini (cfr. doc. 26). 1.5.   L’CO 1, fondandosi sulla valutazione del Dr. med. __________, FMH ORL, chirurgia cervico-facciale, allergologia e immunologia clinica della __________ __________ a __________ (cfr. doc 33), con decisione su opposizione del 30 settembre 2008 ha parzialmente accolto l’opposizione dell’assicurato, riconoscendogli il diritto a un’IMI del 20%, di cui 15% per la diminuzione della capacità uditiva e 5% per il tinnitus (cfr. doc. A1). 1.6.   Con tempestivo ricorso del 29 ottobre 2008 RI 1, sempre rappresentato dal RA 1, ha nuovamente postulato, per la sola perdita uditiva, un’IMI del 20%, non ritenendosi d’accordo con la commisurazione effettuata dall’CO 1 del 15%. Egli ha, inoltre, richiesto che l’IMI complessiva consideri pure una percentuale adeguata per le vertigini. A motivazione della propria pretesa ricorsuale egli ha, segnatamente, addotto, per quanto è della perdita uditiva, che se una diminuzione della capacità uditiva del 50% d’un lato e del 40% dall’altro secondo la Tabella 12 dà diritto a un’indennità del 15%, per i valori riscontrati nei più recenti esami, ossia perdita del 55.55% a destra e del 43.1% a sinistra - percentuali dunque intermedie alle soglie 50-60%, rispettivamente 40-50% -, dovrebbe essere assegnata un’indennità intermedia al prossimo valore di 25% (valore tabellare per esempio per una perdita del 60% d’una parte, 50% dall’altra, oppure del 50% da ambedue i lati). Egli ritiene che, di conseguenza, debba essergli riconosciuta, per la sola perdita uditiva, un’IMI del 20%. Il ricorrente rivendica, altresì, un nuovo esame del suo diritto a un’IMI per le vertigini di cui soffre a causa dell’esposizione ai rumori, riservandosi il diritto di produrre documentazione medico-specialistica in merito (cfr. doc. I). 1.7.   In risposta l’assicuratore LAINF resistente, allegando un’ulteriore valutazione del 25 novembre 2008 allestita dal Dr. med. __________ (cfr. doc. V), ha postulato la reiezione dell’impugnativa con argomenti di cui si dirà, per quanto occorra, nei considerandi di diritto. 1.8.   La parte ricorrente, dopo aver beneficiato di alcune proroghe al fine di attendere l’esito di indagini supplementari (cfr. doc. VII, VIII, IX, X, XI, XII), il 24 febbraio 2009, da un lato, si è riconfermata nella propria richiesta di un’IMI maggiorata per la perdita della capacità uditiva. Dall’altro, per quanto concerne gli episodi vertiginosi, dando atto, a seguito di accertamenti specialistici, che nessuna patologia certa e di origine indubbia si è potuta rilevare, ha rinunciato alla sua relativa richiesta di IMI (cfr. doc. XIII). 1.9.   Il doc. XIII è stato trasmesso per conoscenza all’CO 1 (cfr. doc. XIV).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l’entità dell’indennità per menomazione dell’integrità riconosciuta a RI 1 in relazione ai suoi disturbi d’udito. Questa Corte prende atto del fatto che il ricorrente, con scritto del 24 febbraio 2009, ha invece rinunciato a chiedere un’IMI in relazione alle vertigini da lui lamentate, in quanto anche da accertamenti specialistici supplementari non si è potuta rilevare alcuna patologia certa e di origine indubbia (cfr. doc. XIII). 2.3.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2.5.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2.7.   Nel caso in esame Il Dr. med. __________, FMH ORL, il 17 ottobre 2007, compilando il “Certificato medico LAINF”, ha indicato che RI 1 presentava una riduzione dell’udito con difficoltà di comunicazione e tinnito. Quale reperto locale lo specialista ha menzionato “otoscopia con condotti liberi e timpani intatti. Audiogramma con ipoacusia percettiva bilaterale” . Il Dr. med. __________ ha diagnosticato un’ipoacusia percettiva bilaterale e ha prescritto due protesi acustiche (cfr. doc. 7) Il Dr. med. __________, FMH ORL, chirurgia cervico-facciale, allergologia e immunologia clinica della __________ dell’CO 1 a __________, il 21 novembre 2007 ha così valutato la menomazione dell’integrità presentata dall’assicurato in relazione ai suoi disturbi uditivi: " Oben genannter Versicherter leidet an einer sensorineuralen Hochtoninnenohrschwerhörigkeit beidseits, die seit dem 1.1.1984 erheblich geworden ist und einem Entschädigungspflichtigen Integritätsschaden von 15% entspricht. Diese Beurteilung stützt sich auf die Tab. 12 der Integritätsentschädigungen.“ (Doc. 9) Il 4 settembre 2008 il dr. med. __________ ha poi rilevato: " Oben genannter Versicherter leidet an einer rechtsbetonten sensorineuralen Hochtoninnenohrschwerhörigkeit beidseits, vom pancochleären Typ, erheblichen Grades. Das Reintonaudiogramm vom 28.08.2007 widerspiegelt auf der rechten Seite einen Hörverlust von 55.5%, auf der linken Seite von 43.1%, was einem binauralen Hörverlust von 92.4% entspricht. Gemäss Tabelle 12 der Integritätsentschädigungen ergibt dies einen Integritätsschaden von 15%. Dies entspricht meiner medizinischen Beurteilung vom 21.11.2007.“ (Doc. 31) Da un ulteriore rapporto del 26 settembre 2008 del medico della __________ dell’CO 1 a __________, emerge inoltre che: " (…) Oben genannter Versicherter leidet an einer gut dokumentiert Berufslärmschwerhörigkeit, erhebliches Grades, welche einem berufslärmbedingten, entschädigungspflichtigen Integritätsschaden von 15% entspricht. Aufgrund des überschaubaren Verlaufes klagt der Versicherte um Zusammenhang mit dieser Berufslärmschwerhörigkeit über einen schweren Tinnitus, der mit Wahrscheinlichkeit in kausalem Zusammenhang mit der anerkannten Berufslärmschwerhörigkeit steht und einem weiteren, entschädigungspflichtiger Integritätsschaden von 5% entspricht. Insgesamt ergibt sich aus ORL-ärztlicher Sicht ein entschädigungspflichtiger Integritätsschaden von 20%. Diese Beurteilung stützen sich auf die Tabellen 12 und 13 der Integritätsentschädigungen.“ (Doc. 33) Infine il 25 novembre 2008 il Dr. med. __________ ha puntualizzato che: " Bei oben genannten Versicherten hatte die CO 1 am 21.01.2008 eine erhebliche Hochtoninnenohrschwerhörigkeit als Berufslärmschwerhörigkeit. Die binaurale Schädigung des Gehörs ergibt einen berufslärmbedingten, entschädigungspflichtigen Integritätsschaden von 15%. Zusätzlich klagt des Versicherte über eien subjektiven Tinnitus, der mit Wahrscheinlichkeit in kausalem Zusammenhang mit der anerkannten Berufslärmschwerhörigkeit steht. Gemäss tabelle 13 der Integritätsentschädigungen entspricht dieser subjektive Tinnitus einem schweren Tinnitus, was einem weiteren entschädigungspflichtigen Integritätsschaden von 5% entspricht. Ausserdem hat die CO 1 Kostengutsprache für eine binauralen apparative Hörgeräteversorgung erteilt, wobei die entsprechende Schlussexpertise von Dr. __________ vom 25.05.2008 eine optimale apparative Versorgung widerspiegelt. Mit dieser apparativen Hörgeräteversorgung können wir davon ausgehen, dass der Versicherte über ein sozial integriertes Gehör beidseits verfügt. (…)“ (Doc. 35) 2.8.   Questo Tribunale ricorda innanzitutto che, per costante giurisprudenza, in un pro 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Pertanto i referti ordinati ed eseguiti in adempimento di questo compito non possono essere considerati di parte (cfr. STF U 350/06 del 20 luglio 2007). Nella DTF 125 V 351 seg. (= SVR 2000 UV Nr. 10, p. 33ss. e RAMI 1999 U 356, p. 572) ,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dell'__________ hanno pieno valore probatorio, anche quando essi si sono espressi unicamente in base agli atti , dunque senza visitare personalmente l'assicurato (cfr. STFA del 10 settembre 1998 nella causa R., U 143/98 e STFA del 2 luglio 1996 nella causa A., U 49/95).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2.9.   In concreto, chiamata a pronunciarsi su una questione di carattere medico, approfonditamente esaminati gli atti di causa e tutto ben considerato, questa Corte ritiene che la valutazione espressa dal Dr. med. __________ (cfr. consid. 2.7.), secondo cui l’assicurato presenta una menomazione dell’integrità complessiva del 20% (15% per la diminuzione della capacità uditiva + 5% per il tinnitus), possa validamente costituire da supporto probatorio al presente giudizio, senza che si riveli necessario esperire ulteriori accertamenti (sul valore probatorio delle valutazioni del medico dell’CO 1,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c 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I 1018/06 del 16 gennaio 2008 consid. 5.3.; SVR 2003 IV Nr. 1; STFA H 102/01 dell'11 gennaio 2002; STFA H 103/01 dell'11 gennaio 2002; STFA H 299/99 dell'11 gennaio 2002; STFA U 257/01 del 26 novembre 2001; STFA U 82/01 del 15 novembre 2001; STFA I 11/01 del 28 giugno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 rapporti del Dr. med. __________ non contengono, infatti, contraddizioni e presentano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dell’assicurato, comprensivo dei referti degli esami acustici effettuati allo stesso. Per quanto concerne la diminuzione della capacità uditiva di cui è affetto l’insorgente, occorre inoltre osservare che, dalla Tabella 12.4 relativa ai danni dell’udito, emerge che una perdita dell’udito a destra del 60% e a sinistra del 40% dà diritto a un’IMI del 15%. L’assicurato presenta una diminuzione della capacità uditiva a destra del 55.5% e a sinistra del 43.1% (cfr. doc. 12; consid. 2.7.). Questi due singoli tassi, peraltro non contestati dall’assicurato (cfr. doc. I), vanno arrotondati al 60%, rispettivamente 40% (cfr. per analogia DTF 130 V 121 consid. 3.2. = SVR 2004 UV Nr. 11 pag. 41). Una perdita dell’udito bilaterale di tale entità comporta, come appena visto, un’IMI del 15%. Un’indennità per menomazione del 20% per la diminuzione uditiva - come richiesta dall’assicurato - viene per contro assegnata, allorché un orecchio presenta una perdita dell’udito del 70% e l’altro del 40%, ciò che non corrisponde al caso del ricorrente. Agli atti non risulta, del resto, alcun parere specialistico divergente dall’apprezzamento espresso dal Dr. med. __________. Al riguardo è utile evidenziare che, nonostante il ricorrente, specificando di attendere l’esito di accertamenti specialistici supplementari, abbia chiesto al TCA e ottenuto a più riprese la concessione di proroghe del termine assegnatogli per presentare nuove prove (cfr. doc. VI, VIII, IX; X, XI, XII), nessuna attestazione medica è stata prodotta pendente causa. La pretesa ricorsuale di un’IMI del 20% per la sola diminuzione della capacità uditiva, invece del 15% riconosciutogli dall’assicuratore LAINF resistente, si rivela pertanto infondata. Relativamente al tinnitus lamentato dall’assicurato, l’CO 1 gli ha attribuito un’IMI del 5% considerando grave la problematica di cui è il ricorrente affetto (cfr. doc. A1; 33; 35). L’insorgente, presentante un tinnitus fastidioso (cfr. doc. 1) sia all’orecchio destro che a quello sinistro (cfr. doc. 6), a ragione non ha contestato tale tasso (cfr. doc. I). In effetti la Tabella 13 afferente a menomazioni all’integrità a causa di tinnitus, la quale prevede che nei casi di tinnitus grave venga attribuita un’IMI del 5%, per definire un tinnitus grave indica quanto segue: " Richtlinie: Ueberwiegend dauernd bestehendes ein- oder doppelseitiges Ohrgeraüsch mit deutlicher subjektiver lautheit, durch Umgebungsschall des Alltags häufig verdeckt, in Ruhe störend und belästigend empfunden, öfters am Einschlafen hindernd, Verrichtungen (Lesen, Schreiben, Zuhören usw.) sowie Konzentration erfordernde Arbeiten in ruhiger Umgebung dauernd mässig oder zeitweise stark beeinträchtigend – also mittelgradig kompensiert und von mittelgradigem Persönlichkeitswert.“ 2.10.   Alla luce di tutto quanto esposto, la decisione su opposizione impugnata mediante la quale al ricorrente è stata assegnata un’IMI del 20% merita, dunque, conferma in questa sede. All’insorgente va rammentato, comunque, che, in caso di peggioramento non prevedibile della menomazione all’integrità, l’art. 36 cpv. 4 OAINF contempla la possibilità di chiedere la revisione dell’indennità.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