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35.2008.61 vom 10. November 2008</w:t>
      </w:r>
    </w:p>
    <w:p>
      <w:r>
        <w:t>TI Tribunale d'appello, 2008-11-10, IT</w:t>
      </w:r>
    </w:p>
    <w:p>
      <w:r>
        <w:rPr>
          <w:b/>
        </w:rPr>
        <w:t xml:space="preserve">Quelle: </w:t>
      </w:r>
      <w:r>
        <w:t>https://mcp.opencaselaw.ch/entscheid/ti_gerichte_35.2008.61</w:t>
      </w:r>
    </w:p>
    <w:p>
      <w:r>
        <w:t>FR: TI_GERICHTE 35.2008.61 du 10 novembre 2008</w:t>
      </w:r>
    </w:p>
    <w:p>
      <w:r>
        <w:t>IT: TI_GERICHTE 35.2008.61 del 10 novembre 2008</w:t>
      </w:r>
    </w:p>
    <w:p>
      <w:pPr>
        <w:pStyle w:val="Heading2"/>
      </w:pPr>
      <w:r>
        <w:t>Regeste</w:t>
      </w:r>
    </w:p>
    <w:p>
      <w:r>
        <w:t>Grado d'invalidità determinato secondo il metodo ordinario del raffronto dei redditi. Reddito da invalido stabilito in applicazione della DPL edite dall'INSAI/SUVA</w:t>
      </w:r>
    </w:p>
    <w:p>
      <w:pPr>
        <w:pStyle w:val="Heading2"/>
      </w:pPr>
      <w:r>
        <w:t>Erwägungen</w:t>
      </w:r>
    </w:p>
    <w:p>
      <w:r>
        <w:rPr>
          <w:b/>
        </w:rPr>
        <w:t>E. 31</w:t>
      </w:r>
    </w:p>
    <w:p>
      <w:r>
        <w:t>Dezember 2000 [AS 2000 2913] und Art. 26 Abs. 1 lit. b VwVG, BGE 115 V 297 ff.). Allfällige Einwendungen der versicherten Person bezüglich des Auswahlermessens und der Repräsentativität der DAP-Blätter im Einzelfall sind grundsätzlich im Einspracheverfahren zu erheben, damit sich die SUVA im Einspracheentscheid damit auseinander 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(DTF succitata, consid. 4.2.2) Su questi temi, cfr. D. Cattaneo, Novità e tendenze legislative e giurisprudenziali nel campo delle assicurazioni sociali, in RDAT II-2001, p. 593ss. (p. 602-606); D. Cattaneo, La promozione dell'autonomia del disabile: esempi scelti dalle assicurazioni sociali, in RDAT II-2003, p. 621-623 e in L’autonomia del disabile nel diritto svizzero, Ed. Istituto delle assicurazioni sociali e Helbing &amp; Lichtenhahn, Bellinzona 2004, p. 128-131. 2.8.   Per determinare il reddito ancora esigibile dall'assicurato, l'assicuratore LAINF convenuto ha compiuto in sede amministrativa degli accertamenti presso alcune aziende ticinesi. Dai medesimi risulta che nelle attività leggere che l'assicurato sarebbe in grado di esercitare tenuto conto dei postumi residuali che interessano l’estremità inferiore destra, e meglio (considerando quelli indicati in sede di decisione su opposizione) l’aiuto meccanico industriale presso la __________ di __________, l’affilatore presso la __________ di __________, il cassiere presso un supermercato, il cassiere presso la __________ di __________ e, infine, il cablatore presso la __________ di __________, i dipendenti di tali ditte percepivano in media, nel 2007, un reddito annuo pari a fr. 47'047 (cfr. doc. 195 e allegati). D’altro canto, sempre in conformità alla giurisprudenza evocata, l'assicuratore infortuni ha fornito informazioni sul numero globale dei posti di lavoro che entrano in linea di conto alla luce degli impedimenti presentati dall'assicurato, sul salario massimo e minimo, così come sul salario medio. In effetti, dalla tabella che figura sul doc. 195 si evince che sono 24 i posti di lavoro che entrano in considerazione, che i salari minimo e massimo ammontano, rispettivamente, a fr. 29’250 e a fr. 80’828, e infine che quello medio è di fr. 49’341. In relazione all’esigenza di rappresentatività del reddito da invalido stabilito in base alle DPL (cfr. DTF 129 V 472), il TCA osserva che il valore considerato dall’assicuratore LAINF convenuto (fr. 47'047) è inferiore rispetto alla media dei salari medi (fr. 49’341), ciò a tutto vantaggio dell’assicurato. In conclusione - accertato che i cinque posti di lavoro segnalati dall’amministrazione rispettano appieno le limitazioni funzionali descritte dal medico di __________, per cui la relativa obiezione sollevata, peraltro solo a titolo cautelativo, dall’insorgente si rivela priva di fondamento -, il reddito da invalido è stato validamente determinato in base alle DPL. Esso ammonta a fr. 47'047 . Decurtazioni sul reddito da invalido stabilito in applicazione delle DPL non possono entrare in linea di conto, considerato il sistema stesso su cui si fonda questa modalità di fissazione del reddito (cfr. DTF 129 V 472, consid. 4.2.3). Il grado di invalidità del ricorrente - stabilito confrontando i fr. 47'047 al reddito che egli avrebbe potuto conseguire se non fosse intervenuto l’infortunio, e cioè fr. 59’150 - è del 20.46%, arrotondato al 20%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Visto che, con la decisione su opposizione impugnata, l’CO 1 ha riconosciuto a RI 1 una rendita di invalidità del 20%, il suo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