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35.2007.11 vom 14. Mai 2007</w:t>
      </w:r>
    </w:p>
    <w:p>
      <w:r>
        <w:t>TI Tribunale d'appello, 2007-05-14, IT</w:t>
      </w:r>
    </w:p>
    <w:p>
      <w:r>
        <w:rPr>
          <w:b/>
        </w:rPr>
        <w:t xml:space="preserve">Quelle: </w:t>
      </w:r>
      <w:r>
        <w:t>https://mcp.opencaselaw.ch/entscheid/ti_gerichte_35.2007.11</w:t>
      </w:r>
    </w:p>
    <w:p>
      <w:r>
        <w:t>FR: TI_GERICHTE 35.2007.11 du 14 mai 2007</w:t>
      </w:r>
    </w:p>
    <w:p>
      <w:r>
        <w:t>IT: TI_GERICHTE 35.2007.11 del 14 maggio 2007</w:t>
      </w:r>
    </w:p>
    <w:p>
      <w:pPr>
        <w:pStyle w:val="Heading2"/>
      </w:pPr>
      <w:r>
        <w:t>Regeste</w:t>
      </w:r>
    </w:p>
    <w:p>
      <w:r>
        <w:t>Caduto dalle scale,distorsione della caviglia destra.Posto termine a prestazioni di corta durata.Stato stabilizzato(non indicate misure adeguate per miglioramento).Essendo in corso una procedura AI per la riformazione professionale,andrà esaminato se l'assicurato ha diritto a una rendita transitoria</w:t>
      </w:r>
    </w:p>
    <w:p>
      <w:pPr>
        <w:pStyle w:val="Heading2"/>
      </w:pPr>
      <w:r>
        <w:t>Erwägungen</w:t>
      </w:r>
    </w:p>
    <w:p>
      <w:r>
        <w:rPr>
          <w:b/>
        </w:rPr>
        <w:t>E. 23</w:t>
      </w:r>
    </w:p>
    <w:p>
      <w:r>
        <w:t>gennaio 2007 l’UAI, nell’ambito della vertenza pendente al TCA riguardante il ricorso contro la decisione su opposizione del 3 aprile 2006 emessa dall’UAI con cui è stata confermata l’assegnazione all’insorgente di una mezza rendita d’invalidità dal 1. settembre 1999 al 30 giugno 2000 e il diritto alla rendita intera dal 1. luglio 2000 al 31 gennaio 2001 (cfr. inc. 32.2006.101), ha precisato al TCA che il SMR, il 7 giugno 2006, ha potuto riscontrare l’esistenza di una nuova patologia che dall’ottobre 2004 avrebbe potuto influenzare la capacità lavorativa del ricorrente e, nel mese di ottobre 2006, ha indicato che l’assicurato ha subito un trauma in data 28.10.2004 (pertinenza CO 1), nonché che a partire dal 24 gennaio 2005 l’assicurato ha ricuperato una capacità lavorativa al 100% per un’attività adeguata (cfr. doc. IX inc. 32.2006.101). Infine con scritto del 13 febbraio 2007 dell’UAI al TCA, sempre nel contesto della procedura di cui all’inc. 32.2006.101, è stato specificato che “… sulla buona volontà e collaborazione del signor RI 1 riguardo ai provvedimenti professionali finora organizzati, lo scrivente Ufficio avrà modo di determinarsi con prossima separata decisione (…)” (cfr. doc. XIII inc. 32.2006.101) Il TCA ha appurato telefonicamente che attualmente la menzionata decisione non è stata emessa da parte dell’UAI. Ne discende che, in casu, risulta ancora in corso una procedura dell’assicurazione invalidità concernente la riformazione professionale, come pure che non è escluso che possa essere giustificata anche da disturbi alla salute connessi all’infortunio dell’ottobre 2004. Pertanto l’CO 1, contestualmente all’esame del diritto a una rendita di invalidità di cui al consid. 2.2., dovrà chinarsi sull’eventuale diritto dell’assicurato a una rendita transitoria ai sensi degli art. 19 cpv. 3 LAINF e 30 OAINF. 2.8.   Deve essere, infine, esaminato se l'assicurato può essere posto al beneficio dell'assistenza giudiziaria e del gratuito patrocinio, come da lui richiesto (cfr. I). 2.8.1.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Inoltre va rilevato che dal 30 luglio 2002 è in vigore la legge cantonale sul patrocinio d'ufficio e sull'assistenza giudiziaria (cfr. art. 38 Lag e BU 30/2002 p. 213 segg.), la quale si applica alle domande di assistenza giudiziaria introdotte dopo la sua entrata in vigore. L'art. 3 della citata legge, alla quale la legge di procedura per i ricorsi al TCA rinvia espressamente (cfr. il nuovo art. 21 cpv. 2 LPTCA in vigore dal 30 luglio 2002),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2.8.2.   In concreto, a prescindere dal quesito di sapere se il ricorrente si trovi effettivamente nel bisogno, l'ultimo presupposto non è dato. L'infondatezza del ricorso del 1° febbraio 2007, alla luce della LAINF, della dottrina e della giurisprudenza federale pubblicata sia nella Raccolta ufficiale che nel sito internet della Confederazione (cfr. www.bger.ch), risultava in effetti evidente già al momento della presentazione dell'istanza. Il TCA, al riguardo, constata che dalla documentazione medica agli atti, in particolare dal referto allestito dal Prof. Dr. med. __________ nel mese di novembre 2005 - le cui conclusioni non sono state smentite da altri sanitari - emerge con sufficiente chiarezza che i disturbi all’arto inferiore destro non giustificavano di per se stessi il riconoscimento di ulteriori prestazioni assicura-tive (cura medica e indennità giornaliera). Inoltre l’atto medico specialistico non lascia spazio al potere di apprezzamento di questa Corte. Di primo acchito, dunque, si doveva concludere che il procedi-mento non aveva probabilità di esito favorevole (cfr. DTF 125 II 265 consid. 4c; per alcuni casi analoghi: STCA del 21 maggio 2002 nella causa l., 35.2002.12; STCA del 9 luglio 2002 nella causa C., 35.2002.32). La domanda intesa ad ottenere la concessione dell'assistenza giudiziaria e del gratuito patrocinio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