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35.2005.9 vom 8. November 2005</w:t>
      </w:r>
    </w:p>
    <w:p>
      <w:r>
        <w:t>TI Tribunale d'appello, 2005-11-08, IT</w:t>
      </w:r>
    </w:p>
    <w:p>
      <w:r>
        <w:rPr>
          <w:b/>
        </w:rPr>
        <w:t xml:space="preserve">Quelle: </w:t>
      </w:r>
      <w:r>
        <w:t>https://mcp.opencaselaw.ch/entscheid/ti_gerichte_35.2005.9</w:t>
      </w:r>
    </w:p>
    <w:p>
      <w:r>
        <w:t>FR: TI_GERICHTE 35.2005.9 du 8 novembre 2005</w:t>
      </w:r>
    </w:p>
    <w:p>
      <w:r>
        <w:t>IT: TI_GERICHTE 35.2005.9 del 8 novembre 2005</w:t>
      </w:r>
    </w:p>
    <w:p>
      <w:pPr>
        <w:pStyle w:val="Heading2"/>
      </w:pPr>
      <w:r>
        <w:t>Regeste</w:t>
      </w:r>
    </w:p>
    <w:p>
      <w:r>
        <w:t>Assicurata si getta da una finestra. Si é trattato di tentativo di suicidio e non di atto involontario. Ammesso l'obbligo a prestazioni dell'assicuratore, accertato che l'assicurata, al momento del gesto, era totalmente priva della capacità di discernimento a causa di malattia mentale.</w:t>
      </w:r>
    </w:p>
    <w:p>
      <w:pPr>
        <w:pStyle w:val="Heading2"/>
      </w:pPr>
      <w:r>
        <w:t>Erwägungen</w:t>
      </w:r>
    </w:p>
    <w:p>
      <w:r>
        <w:rPr>
          <w:b/>
        </w:rPr>
        <w:t>E. 1</w:t>
      </w:r>
    </w:p>
    <w:p>
      <w:r>
        <w:t>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Va inoltre ricordato che, di regola, le ripetibili sono assegnate al ricorrente vincente in causa e rappresentato da un'organizzazione sindacale (DTF 122 V 278; STFA non pubblicata dell'8 luglio 1997 nella causa D., I 73/96; STFA non pubblicata 3 febbraio 1998 nella causa M.P., I 7/97; STFA non pubblicata del 30 settembre 1998 nella causa A.C.F.R., I 462/97 e STFA non pubblicata del 13 gennaio 2000 nella causa K.K.,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w:t>
      </w:r>
    </w:p>
    <w:p>
      <w:r>
        <w:rPr>
          <w:b/>
        </w:rPr>
        <w:t>E. 3</w:t>
      </w:r>
    </w:p>
    <w:p>
      <w:r>
        <w:t>février 1999)." In simili condizioni, visto l'esito della procedura, la CO 1 verserà all'assicurata, rappresentata dall'RA 1, fr. 1'500.--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