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35.2005.87 vom 9. Februar 2006</w:t>
      </w:r>
    </w:p>
    <w:p>
      <w:r>
        <w:t>TI Tribunale d'appello, 2006-02-09, IT</w:t>
      </w:r>
    </w:p>
    <w:p>
      <w:r>
        <w:rPr>
          <w:b/>
        </w:rPr>
        <w:t xml:space="preserve">Quelle: </w:t>
      </w:r>
      <w:r>
        <w:t>https://mcp.opencaselaw.ch/entscheid/ti_gerichte_35.2005.87</w:t>
      </w:r>
    </w:p>
    <w:p>
      <w:r>
        <w:t>FR: TI_GERICHTE 35.2005.87 du 9 février 2006</w:t>
      </w:r>
    </w:p>
    <w:p>
      <w:r>
        <w:t>IT: TI_GERICHTE 35.2005.87 del 9 febbraio 2006</w:t>
      </w:r>
    </w:p>
    <w:p>
      <w:pPr>
        <w:pStyle w:val="Heading2"/>
      </w:pPr>
      <w:r>
        <w:t>Regeste</w:t>
      </w:r>
    </w:p>
    <w:p>
      <w:r>
        <w:t>Tassista, già al beneficio di una rendita di invalidità, annuncia una ricaduta, assunta dall'assicuratore, che gli riconosce di nuovo le indennità giornaliere. Esse vanno calcolate sul salario conseguito immediatamente prima della ricaduta. Salario soggetto a forti fluttuazioni.</w:t>
      </w:r>
    </w:p>
    <w:p>
      <w:pPr>
        <w:pStyle w:val="Heading2"/>
      </w:pPr>
      <w:r>
        <w:t>Erwägungen</w:t>
      </w:r>
    </w:p>
    <w:p>
      <w:r>
        <w:rPr>
          <w:b/>
        </w:rPr>
        <w:t>E. 18</w:t>
      </w:r>
    </w:p>
    <w:p>
      <w:r>
        <w:t>maggio 2001 nella causa B., U 107/99, consid. 3a e la STFA dell’11 maggio 2001 nella causa S., U 232/99, consid. 5a). In quella fattispecie, la Corte federale aveva peraltro giudicato corretta la decisione di rifiutare all’assicurato il versamento dell’indennità giornaliera, per il motivo che nei sei anni precedenti l’infortunio egli non aveva realizzato degli utili. Alla luce della giurisprudenza appena citata l’argomento sollevato da RI 1 non può essere fatto proprio dal TCA. Dalle tavole processuali emerge che il guadagno su cui l’Istituto assicuratore convenuto ha calcolato l’indennità giornaliera spettante a RI 1, è stato ottenuto ponderando i redditi aziendali, relativi ai periodi 1° luglio-31 dicembre 2000 e 1° gennaio-31 dicembre 2001, stabiliti dalla Cassa cantonale di compensazione ai fini della calcolazione dei contributi AVS/AI/IPG (cfr. doc. 162 – inc. CO 1 2). I suddetti redditi aziendali sono stati determinati sulla base dei dati dichiarati all’autorità fiscale dal ricorrente stesso (cfr. doc. 48a, allegato al doc. 148 e doc. 160 – inc. CO 1 2), conformemente agli artt. 9 cpv. 3 LAVS e</w:t>
      </w:r>
    </w:p>
    <w:p>
      <w:r>
        <w:rPr>
          <w:b/>
        </w:rPr>
        <w:t>E. 23</w:t>
      </w:r>
    </w:p>
    <w:p>
      <w:r>
        <w:t>OAVS. Sulla scorta di quanto precede, il TCA ritiene che i redditi aziendali (netti) fissati nelle due decisioni emanate della Cassa cantonale di compensazione - le quali sono nel frattempo cresciute in giudicato incontestate - costituiscano una base affidabile per la determinazione del guadagno assicurato. 2.7.   A mente di questa Corte non presta il fianco a critiche neppure il fatto - peraltro non contestato dall’insorgente - che l’assicuratore LAINF, a fronte delle forti fluttuazioni a cui è sottoposto il reddito conseguito da RI 1 grazie alla sua attività di tassista, abbia applicato l’art. 23 cpv. 3 OAINF, in virtù del quale, in questo caso, diventa decisivo il “medio salario giornaliero ponderato”. In proposito, occorre sottolineare che il TFA, in più di un’occasione, ha giudicato soddisfatto il criterio delle “forti fluttuazioni”, trattandosi di assicurati che svolgevano proprio la professione di tassista (cfr. RAMI 2001 U 423, p. 201ss. e STFA del 23 ottobre 1990 nella causa T., U 130/89, in cui è stato ritenuto applicabile il cpv. 3 dell’art. 23 OAINF, per il motivo che, durante gli otto mesi precedenti l’infortunio, il guadagno mensile aveva fluttuato di fr. 851.--). Nella concreta evenienza, è palese che i guadagni realizzati dall’assicurato sono dipesi direttamente dal numero di clienti che hanno usufruito dei suoi servizi e, in questo senso, essi sono stati oggetto di fluttuazioni, così come d’altronde lo dimostrano i dati che figurano nelle distinte delle entrate agli atti. Il guadagno annuo assicurato su cui calcolare l’indennità giornaliera spettante a RI 1, è dunque di fr. 39'147.50.--, donde un’indennità giornaliera pari a fr. 85.85 (cfr., su questo aspetto, l’Allegato 2 all’OAINF). Da notare che se si fosse applicata la prassi abituale, che consiste nel considerare gli ultimi 3 mesi prima della ricaduta, il guadagno assicurato ammonterebbe a soli fr. 32'577.— (cfr. doc. 174, p. 3). Conformemente al conteggio allegato al doc. 162, il ricorrente è tenuto a restituire all’CO 1 l’importo di fr. 13'220.15, a suo tempo versatogli a torto. La decisione definitiva rilasciata dalla Cassa cantonale di compensazione costituisce in effetti un fatto nuovo che giustifica la revisione della prima decisione dell’CO 1, peraltro provvisoria (cfr.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