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35.2004.72 vom 20. Juli 2004</w:t>
      </w:r>
    </w:p>
    <w:p>
      <w:r>
        <w:t>TI Tribunale d'appello, 2004-07-20, IT</w:t>
      </w:r>
    </w:p>
    <w:p>
      <w:r>
        <w:rPr>
          <w:b/>
        </w:rPr>
        <w:t xml:space="preserve">Quelle: </w:t>
      </w:r>
      <w:r>
        <w:t>https://mcp.opencaselaw.ch/entscheid/ti_gerichte_35.2004.72</w:t>
      </w:r>
    </w:p>
    <w:p>
      <w:r>
        <w:t>FR: TI_GERICHTE 35.2004.72 du 20 juillet 2004</w:t>
      </w:r>
    </w:p>
    <w:p>
      <w:r>
        <w:t>IT: TI_GERICHTE 35.2004.72 del 20 luglio 2004</w:t>
      </w:r>
    </w:p>
    <w:p>
      <w:pPr>
        <w:pStyle w:val="Heading2"/>
      </w:pPr>
      <w:r>
        <w:t>Regeste</w:t>
      </w:r>
    </w:p>
    <w:p>
      <w:r>
        <w:t>infortunio alla mano destra, con interessamento delle strutture muscolari, tendinee e nervose. Entità dell'indennità per menomazione all'integrità fisica. Ritenuta determinante la funzione clinica oggettivabile della mano, piuttosto che le risultanze di un esame strumentale. Nessuna IMI</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contenute nella LAINF.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10 settembre 2003 nella causa Cassa pensioni X. c/ C., B 28/01; STFA del 20 gennaio 2003 nella causa V. e V.-A., K 133/01). Di conseguenza, nel caso in esame, visto che oggetto della lite è l’eventuale diritto a prestazioni decorrenti antecedentemente al 1° gennaio 2003, tornano applicabili le disposizioni di diritto materiale della LAINF, in vigore sino al 31 dicembre 2002. 2.3.   L'oggetto della lite è circoscritto alla questione a sapere se l’assicurato ha o meno diritto ad un'indennità per menomazione all'integrità. 2.4.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 121). 2.6.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2.7.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   Nel caso di specie, l'assicuratore LAINF convenuto ha negato all'assicurato il diritto ad un'indennità per menomazione all'integrità, facendo riferimento alle certificazioni del proprio medico di circondario, dott. __________, spec. FMH in chirurgia. In effetti, dagli atti all’inserto si evince che, già in occasione della visita medica di chiusura del 3 giugno 2002, il dott. __________, a fronte di una ritrovata ottima funzione della mano destra, ha negato che fossero realizzati i presupposti per riconoscere al ricorrente un’IMI: " Siamo dunque a distanza di 33 mesi da una ferita da taglio alla base tenarica della mano destra con interessamento del tendine del flessore profondo, della muscolatura del tenar e del ramo digitale ulno-palmare del pollice. Stato dopo due interventi ricostruttivi (il giorno dell'infortunio nonché il 28.2.2000, l'ultimo realizzato per tenolisi del flessore profondo, neurolisi del ramo tenarico, nonché ricostruzione del nervo digitale ulno-palmare (trapianto del nervo interosseo dorsale a destra). Inoltre si procede alla scissione del retinacolo carpale destro per la decompressione del nervo mediano. Per quanto riguarda il recupero della funzione della mano (motorica e sensitiva), il signor RI 1 ha ripreso il lavoro nella misura di 1/3 il 4.9.2000, al 50% l'1.12.2000 e nella misura del 100% il 13.2.2001. Anche durante l'esame clinico odierno, la funzione della mano destra (assicurato ambidestro) è da ritenere ottimo, parificabile al lato opposto. Una residuale lieve ipestesia in zona distale ulnare del pollice destro non costituisce alcun fattore invalidante. Non sono quindi date le premesse per un'indennità alla menomazione dell'integrità (ai sensi dell'OAINF)." (doc. 92). Nell’ambito della procedura di opposizione, il dott. __________, generalista, ha contestato che l’assicurato fosse in grado di lavorare in misura completa, facendo riferimento ad una persistente iposensibilità nella parte volare del pollice e ad un deficit di forza alla flessione dello stesso (cfr. doc. 96). Al proposito, è utile ricordare che la capacità lavorativa del 100% era stata certificata dagli specialisti della Clinica di ortopedia dell’Ospedale cantonale di __________, i quali, in occasione del consulto del 12 febbraio 2001, avevano osservato, all’esame clinico: “Reizlose Narbenverhältnisse, keine Druckdolenz, Hypästhesie am Daumen, vor allem radialseitig, weniger ulnarseitig, gute Flexion des Daumens auch die Abduktion ist möglich”, e concluso per un, citiamo: “… sehr schönes Resultat nach Thenarlyse der Flexor pollicis longus Sehne, Rekonstruktion des ulnarpalmaren Nerven und Neurolyse des radialen Nerven” (doc. 74 – la sottolineatura è del redattore). In data 15 luglio 2003, RI 1, su ordine dell’CO 1, è stato sottoposto ad un esame elettroneurografico da parte del dott. __________, Capo del Servizio di neurologia presso l’Ospedale regionale di __________. Queste le relative considerazioni contenute nel suo referto del 16 luglio 2003: " Questo paziente presenta quindi le conseguenze clinico-elettrofisiologiche di una lesione segmentaria dei nervi digitali palmari del pollice e di una probabile sezione del ramo tenarico del nervo mediano destro. L' ESAME ENG è in effetti congruente rispetto ad una sindrome del tunnel carpale di tipo essenzialmente "assonale", dato che corrisponde bene all'ipomiotrofia dei muscoli bersaglio oggettivabile clinicamente. Il deficit motorio risulta responsabile di una riduzione di determinati movimenti fini della mano includenti la scrittura (possibile ma più imprecisa rispetto ai dati pre-infortunistici pur considerando le difficoltà cognitive del paziente che, come sa, è seguito riguardo al sospetto di un morbo d'Alzheimer: Exelon 1.5-3 mg) Sul piano soggettivo però ciò che più disturba l'assicurato sono i disturbi sensitivi (sprovvisti di componenti algiche), elemento ben comprensibile considerando la loro costanza e riproducibilità con talvolta una facilitazione durante l'utilizzo della mano" (doc. 124). Sempre su richiesta dell’assicuratore LAINF convenuto, nel corso del mese di settembre 2003, è pure stato eseguito un esame elettromiografico, accertamento che ha fornito un esito compatibile con, citiamo: “… uno stato di moderata denervazione (e reinnervazione) allo stadio cronico nei muscoli bersaglio del n. mediano dx. esaminati alla mano destra (i tracciati sono normali nel 1° interosseo dorsale, adottato come muscolo testimone e innervato dal n. ulnare)”. Il dott. __________ ha quindi concluso che i dati confermano la presenza di una neuropatia post-traumatica del nervo mediano, compatibile con i disturbi (prevalentemente sensitivi) denunciati dall’assicurato (cfr. doc. 129). In data 5 aprile 2004 ha avuto luogo una nuova visita fiduciaria di controllo a cura del dott. __________. Il medico di circondario ha così descritto lo stato oggettivabile a livello dell’arto superiore destro: " All’ispezione delle spalle e arti superiori non notiamo nessuna asimmetria, tranne una lieve miatrofia sul lato mediale del tenar a destra (rinviamo pure alla fotodocumentazione allegata). Mobilità delle articolazioni omero-scapolari, gomiti, polsi e dita completa e simmetrica. Circonferenza destra         sinistra Braccio (15 cm sopra l’olecrano)         31,5 cm           31,5 cm Avambraccio (15 cm sotto l’olecrano) 25,5 cm           25,5 cm Metacarpo                                                 22,0 cm           22,0 cm Polso                                                         17,0 cm           17,0 cm (assicurato ambidestro). Mobilità pollice Estensione/flessione           MF            0-5-40°            0-0-40° AIF            0-0-60°            0-0-60° Opposizione del pollice simmetrica (1 cm di distanza fra polpastrello e capitello metacarpale IV a destra e sinistra). Forza bruta (JAMAR): alla mano destra 44 kp, a sinistra 42 kp. Forza bruta alla presa a pinza (pollice-indice, pinch-gauge): a destra e a sinistra 11,5 kp. Minime callosità palmari, nessun segno distrofico, polsi periferici ben palpabili (tranne una lieve attenuazione del polso radiale a sinistra). La forza bruta del flessore lungo e breve del pollice è di M5. Opposizione del pollice destro: M5. Forza bruta all’adduzione del pollice destro: M5. Forza bruta all’abduzione del pollice destro: M4. Nessuna difficoltà a maneggiare dei mattoni del peso fino a 8,5 kg, con la mano destra sola, anche fino all’altezza di quasi un metro. I riflessi osteotendinei agli arti superiori sono vivaci e simmetrici, nessuna differenza al tempo di ricapillarizzazione dei pollici. Risulta intatta la sensibilità, tranne una lieve ipoestesia lungo il lato ulnare del pollice destro (presenza di lieve callosità, dall’uso del martello), isolatamente del pollice sinistro. Nessun segno irritativo a livello della cicatrice alla base del tenar alla mano destra (rinviamo pure alla fotodocumentazione dettagliata), nessun sospetto di neuroma cicatriziale, nessuna reazione antalgica alla compressione locale. Negatività del segno di Finkelstein, negatività dei segni epicondilitici lateralmente. Per motivi costituzionali, l’assicurato non riesce ad eseguire la presa di pinza pollice-mignolo, né a destra né a sinistra. Segno di Tinel carpale bilateralmente negativo. Configurazione scoliotica sinistro-convessa a livello della colonna lombare, vecchio complesso cicatriziale del diametro di oltre 5 cm alla scapola sinistra (vecchio infortunio), in giovane età. Lieve diastasi a livello dell’articolazione acromio-claveare a sinistra (dall’attività di judo, praticata anni indietro). (…)” (doc. 145) In considerazione delle menzionate risultanze, il dott. __________ ha ribadito la tesi secondo cui l’insorgente non ha diritto ad un’IMI, in quanto la menomazione di cui è portatore non raggiunge, in quanto a gravità, la perdita di metà del pollice (indennizzata, secondo la tabella n. 3, con il 5%): " Siamo dunque a distanza di oltre 4 anni e mezzo della lesione traumatica summenzionata, trattata cruentamente, a due riprese. A terapie concluse, il lavoro di lattoniere è stato ripreso nella misura del 100%, entro il 13.2.2001. All'esame odierno oggettivamente, rispetto all'ultima visita in __________ del 3.6.2002, notiamo un lieve miglioramento per quanto riguarda la forza bruta (a destra 44 kp) nonché della motorica fine (opposizione M5). Dal lato funzionale persiste un lieve deficit a livello dell'abduzione del pollice (M4) nonché una lieve ipestesia, lungo il lato ulnare del pollice destro. Questi parametri combaciano con l'EMNG del 9.9.2003 (conferma di reinnervazione dei muscoli tenarici, risp. buon recupero, soprattutto a livello del muscolo opponente, di moderata entità a livello dell'adduttore breve del pollice a destra, risp. neuropatia residuale prevalentemente di carattere sensitivo). Indubbiamente per quanto riguarda la valutazione della menomazione dell'integrità è determinante la funzione della mano destra, da ritenere molto buona, con mobilità, forza e tattilità tale da non poter essere equiparata ad una perdita almeno della metà del pollice destro (5%), minimo richiesto dall'OAINF. Rimane quindi fuorviante la richiesta della RA 1, chiedendo un'IMI del 20% ossia sostenendo un danno grave equivalente addirittura alla completa paralisi prossimale del braccio. Per quanto riguarda le capacità cognitive (in base ai test attuali), riscontriamo solamente un lieve peggioramento. L'assicurato, che attualmente pratica dei lavori del tipo manovalanza (impiego prevalentemente della mano destra), continua ad essere abile al lavoro, anche per le mansioni di lattoniere, nella misura del 100%" (doc. 145). Infine, nella sua presa di posizione del 17 giugno 2004, il fiduciario dell’CO 1 ha sottolineato che, ai fini della valutazione dell’IMI, è determinante, citiamo: “… l’effettiva funzione clinica, oggettivabile e riproducibile, per cui rinviamo nuovamente al nostro approfondito esame (pure con fotodocumentazione dettagliata) del 5.4.2004”: " La lic. jur __________, del RA 1, rappresentante legale del signor RI 1, con la sua missiva del 15.6.2004 semplicemente riprende il rapporto del dott. __________ del 16.7.2003, senza tener conto dei successivi esami che hanno avuto luogo, segnatamente l'EMG del 9.9.2003 e soprattutto dell'approfondito esame in __________ del 5.4.2004. Oltre a questo la RA 1 in modo tassativo mantiene la richiesta di un'IMI del 20%, sostenendo di essere confrontati con una lesione del nervo mediano (sic!), da parte nostra a varie riprese giudicato fuorviante . A questo punto è d'importanza elementare il fatto che per la valutazione dell'IMI è determinante l'effettiva funzione clinica, oggettivabile e riproducibile, per cui rinviamo nuovamente al nostro approfondito esame (pure con fotodocumentazione dettagliata) del 5.4.2004. Sarà altrettanto sfuggito alla RA 1 che la valutazione del 16.7.2003 era insufficiente e non corrispondeva neanche al nostro incarico, in quanto mancante in quel periodo l'importante esame EMG. Sulla scorta di tutti questi nuovi dati prodotti, dopo il 16.7.2003 (ma ignorati dalla RA 1), deve essere integralmente confermato il contenuto della decisione in oggetto" (doc. 153). 2.9.   Con il proprio ricorso, RI 1 ha sostenuto che la menomazione di cui è portatore deve essere equiparata ad una paralisi prossimale del nervo mediano destro, per cui, in applicazione della tabella n. 1, chiede la corresponsione di un'IMI del 20%. Attentamente esaminata la documentazione presente nell'incarto questo Tribunale ritiene tale pretesa manifestamente infondata. Al proposito, basti osservare che un’IMI del 20% viene segnatamente riconosciuta in caso di amputazione totale del pollice (cfr. tabella n. 3), un danno alla salute decisamente più grave rispetto a quello che presenta l’insorgente, visto che, fra le altre cose, viene completamente pregiudicata la motricità fine della mano interessata. D’altro canto, a mente di questa Corte, la valutazione espressa dal dott. __________ può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concreta evenienza è innanzitutto utile ricordare che l'indennità per menomazione all'integrità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 fatta astrazione dei fattori soggettivi (cfr. DTF 115 V 147 consid. 1, 113 V 121 consid. 4b e riferimenti ivi menzionati; RAMI 2000 U 362, p. 43; cfr., pure, Th. Frei, Die Integritätsentschädigung nach Art. 24 und 25 des Bundesgesetzes über die Unfallversicherung, Tesi Friborgo 1998, p. 40s.). Indipendentemente dagli esiti dell’esame ENMG attuato dal dott. __________ (esame che ha comunque mostrato un, seppure parziale, processo di reinnervazione dei muscoli del tenar, cfr. doc. 129), questo Tribunale osserva che le misurazioni eseguite dal medico di circondario in occasione della visita di controllo del 5 aprile 2004, hanno consentito di oggettivare un’ottima funzione dell’estremità superiore destra, sia dal profilo della mobilità, sia da quello della forza e della sensibilità, addirittura analoga, per certi versi, a quella riscontrata all’estremità controlaterale (cfr. doc. 145, p. 2-3). D’altronde, è utile ricordare che, già nel mese di febbraio del 2001, i sanitari della Clinica di ortopedia dell’Ospedale cantonale di __________ avevano riferito di un risultato terapeutico molto buono (cfr. doc. 74: “… ein sehr schönes Resultat …”). In esito a quanto precede, il TCA ritiene di potere fare propria l’opinione del dott. __________, secondo il quale la situazione oggettivabile alla mano destra di RI 1 non raggiunge un grado di gravità corrispondente perlomeno alla perdita di metà del pollice (indennizzata con il 5% secondo la tabella n. 3). D’altronde, occorre rilevare che il bloccaggio totale, mediante artrodesi, dell’articolazione alla base del pollice, non dà diritto ad alcuna indennità per menomazione all’integrità, in quanto la relativa limitazione della funzionalità, se confrontata ad una completa incapacità funzionale del pollice (20%), va valutata inferiore ad ¼, quindi inferiore al 5% (cfr. W. Gilg/H. Zollinger, Die Integritätsentschädigung, Berna 1984 , p. 56, esempio n. 4). In conclusione, nella misura in cui l’CO 1 ha negato all’assicurato il diritto di percepire un’indennità per menomazione all’integrità,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