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35.2003.84 vom 4. September 2003</w:t>
      </w:r>
    </w:p>
    <w:p>
      <w:r>
        <w:t>TI Tribunale d'appello, 2003-09-04, IT</w:t>
      </w:r>
    </w:p>
    <w:p>
      <w:r>
        <w:rPr>
          <w:b/>
        </w:rPr>
        <w:t xml:space="preserve">Quelle: </w:t>
      </w:r>
      <w:r>
        <w:t>https://mcp.opencaselaw.ch/entscheid/ti_gerichte_35.2003.84</w:t>
      </w:r>
    </w:p>
    <w:p>
      <w:r>
        <w:t>FR: TI_GERICHTE 35.2003.84 du 4 septembre 2003</w:t>
      </w:r>
    </w:p>
    <w:p>
      <w:r>
        <w:t>IT: TI_GERICHTE 35.2003.84 del 4 settembre 2003</w:t>
      </w:r>
    </w:p>
    <w:p>
      <w:pPr>
        <w:pStyle w:val="Heading2"/>
      </w:pPr>
      <w:r>
        <w:t>Regeste</w:t>
      </w:r>
    </w:p>
    <w:p>
      <w:r>
        <w:t>caduta della sponda di un camion su una spalla-rottura cuffia rotatori-ricaduta-Documenti prodotti dopo termine ricorso ammessi-Grado rendita di invalidità LAINF valutata riferendosi solo a disturbi fisici e non psichici-Costo perizia medica non a carico dell'assicuratore-AG respinta,non indigente</w:t>
      </w:r>
    </w:p>
    <w:p>
      <w:pPr>
        <w:pStyle w:val="Heading2"/>
      </w:pPr>
      <w:r>
        <w:t>Erwägungen</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emesso numerose sentenze in materia d'assicurazione contro gli infortuni. Si tratta di fattispecie in cui questo TCA aveva proceduto a quantificare il reddito da invalido in applicazione della suesposta prassi, a discapito della valutazione operata dall'INSAI sulla base dei dati risultanti dalla documentazione sui posti di lavoro (DPL). La prima di queste pronunzie è stata emanata nella causa INSAI c/ L., U 181/98 e reca la data del 22 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aveva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Novità e tendenze …, p. 604-605). Tale questione è stata invece affrontata in una sentenza del 28 agosto 2003 nella causa C., U 35/00 + U 47/00, pubblicata in DTF 129 V 472ss. (= RAMI 2003 U 494, p. 383ss.), in cui il TFA - dopo avere sottolineato le difficoltà che comporta il volere imporre un ordine di priorità fra dati statistici e DPL, siccome ognuno dei due metodi presenta vantaggi e svantaggi (cfr. DTF 129 V 477, consid. 4.2.1) - ha definito quali sono i presupposti che devono essere soddisfatti affinché il reddito da invalido possa essere validamente determinato sulla base dei salari DPL: " (…). Weil die Invaliditätsbemessung aufgrund hypothetischer Vergleichseinkommen und unter Berücksichtigung des in Betracht fallenden (ausgeglichenen) allgemeinen Arbeitsmarktes zu erfolgen hat, müssen die DAP auch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Unbeachtlich ist, ob der Arbeitsplatz frei oder besetzt ist, weil die Invaliditätsbemessung auf der Fiktion eines ausgeglichenen Arbeitsmarktes beruht (BGE110 V 276 Erw. 4b; AHI 1998 S. 291 Erw. 3b). Wenn die Vorinstanz eine Mindestzahl von fünf zumutbaren Arbeitsplätzen voraussetzt, so erscheint dies in quantitativer Hinsicht in der Regel als genügend. Im Hinblick auf die geforderte Repräsentativität der DAP-Profile und der daraus abgeleiteten Lohnangaben hat der Unfallversicherer im Sinne einer qualitativen Anforderung jedoch, zusätzlich zur Auflage von mindestens fünf DAP-Blättern, Angaben zu machen über die Gesamtzahl der aufgrund der gegebenen Behinderung in Fragekommenden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Al riguardo, cfr. D. Cattaneo, La promozione dell'autonomia del disabile: esempi scelti dalle assicurazioni sociali, in RDAT II-2003, p. 621-623. 2.17.   Partendo dalla constatazione che l'applicazione di dati salariali statistici validi per tutta la Svizzera - quali quelli utilizzati dal TFA (cfr., fra le più recenti, STFA del 23 maggio 2002 nella causa D., U 234/00 e del 30 aprile 2002 nella causa P., U 241/00)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TCA, in una sentenza del 4 settembre 2000 nella causa R., pubblicata in RDAT I-2001, p. 250ss. e in SVR 2001 IV n. 35 - successivamente confermata in più di un'occasione (cfr., ad esempio, STCA del 17 aprile 2001 nella causa B. e del 22 maggio 2001 nella causa M.)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Ricciardi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In una sentenza del 5 giugno 2003 nella causa B. (inc. n. 35.2003.6), il TCA ha inoltre sottolineato come il TFA, che ha posto il principio della priorità dei dati statistici nazionali rispetto a quelli regionali - in alcune sue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In una sentenza del 13 giugno 2003 nella causa M., U 236/01, consid. 4.3.2, il TFA ha ribadito che esso "… non esclude di principio l'applicazione dei valori regionali, desumibili dalle tabelle TA14 (recte: TA13, n.d.r. ) - (…) -, segnatamente laddove questi appaiono maggiormente favorevoli per l'assicurato (cfr. sentenza del 10 agosto 2001 in re R., I 474/00, consid. 3c/aa)". In un'altra sentenza, datata sempre 13 giugno 2003, la nostra Massima Istanza ha ricordato segnatamente che, citiamo: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(STFA del 13 giugno 2003 nella causa G., I 475/01, consid. 4.4.). Il TFA ha ancora ribadito i medesimi concetti in una sentenza del 20 aprile 2004 nella causa K., I 871/02, consid. 6.3. e in una sentenza del 26 agosto 2004 nella causa C., I 355/03, consid. 7.4. Su questi argomenti, cfr. D. Cattaneo, La promozione dell'autonomia …, in RDAT II-2003, p. 618-621. Pertanto quanto allegato dall'CO1 nella risposta di causa, relativamente al fatto che il TFA farebbe capo unicamente ai dati statistici federali ad esclusione di quelli regionali (cfr. doc. VII), non corrisponde al vero. 2.18.   Per determinare il reddito ancora esigibile dall'assicurato, l'CO1 ha compiuto in sede amministrativa degli accertamenti presso alcune aziende ticinesi. Dai medesimi risulta che nelle attività leggere che l'assicurato sarebbe in grado di esercitare, e meglio trafilatore presso la __________ di __________, controllore presso la __________ SA di __________, operaio presso la __________ di __________, magazziniere presso la __________ di __________ e montatore di cartucce filtranti presso __________ di __________, i dipendenti di tali ditte percepivano in media, nel 2003, un reddito annuo pari a fr. 44'062.-- (cfr. doc. 234). Alla luce della giurisprudenza di cui alla DTF 129 V 472ss., le cinque DPL prodotte in causa sono numericamente sufficienti. Nondimeno, con riferimento all'esigenza di rappresentatività della DPL e dei dati salariali ad essa connessi, l'assicuratore infortuni convenuto ha omesso di fornire informazioni sul numero globale dei posti di lavoro che entrano in linea di conto alla luce degli impedimenti presentati dall'assicurato, sul salario massimo e minimo, così come sul salario medio. Di conseguenza, nel caso di specie, le DPL dell'CO1, a prescindere dalla fondatezza o meno delle obiezioni sollevate in merito dall'assicurato nell'atto ricorsuale (cfr. doc. I; consid. 1.4.), non possono comunque essere utilizzate per determinare il reddito da invalido (cfr. ad esempio, in questo senso, RAMI 2004 pag. 284, STFA del 31 ottobre 2003 nella causa A., U 15/02, consid. 4.2; STFA del 26 febbraio 2004 nella causa Schweizerische Unfallversicherungsanstalt c/ M., U 208/02, consid. 3.1. oltre a numerose altre sentenze pubblicate nel sito internet dell'Alta Corte). Non è, dunque, necessario esaminare più approfonditamente le censure formulate dal ricorrente in relazione alle DPL. 2.19.   In concreto, in ossequio alla più recente giurisprudenza federale, occorre dunque, in assenza di dati salariali concreti, basarsi sui valori statistici e, concretamente, sull'inchiesta svizzera sulla struttura dei salari 2002 (l'ultima edizione disponibile), edita dall'Ufficio federale di statistica. Conformemente alla prassi di questa Corte, secondo cui la priorità deve essere attribuita ai valori statistici regionali (rispetto a quelli raccolti a livello nazionale, cfr. consid. 2.17.), tornano applicabili i dati afferenti al Ticino contenuti nella tabella TA13. Orbene - utilizzando i dati forniti dalla succitata tabella elaborata dall'Ufficio federale di statistica - il ricorrente, svolgendo nel 2002 una professione che presuppone qualifiche inferiori nel settore privato ticinese (a proposito della rilevanza delle condizioni salariali nel settore privato, cfr. RAMI 2001 U 439, p. 347ss. e SVR 2002 UV 15, p. 47ss.), avrebbe potuto realizzare, in media, un salario mensile lordo pari a fr. 4'098.--. Riportando questo dato su 41.7 ore ( cfr. tabella B 9.2, pubblicata in La Vie économique, 8-2004, p. 94 ), esso ammonta a fr. 4'272.16 mensili oppure a fr. 51'265.92 per l'intero anno (fr. . 4'272.16 x 12, ritenuto che la quota di tredicesima è già compresa, cfr. STFA del 18 febbraio 1999 nella causa B., U 274/98, p. 5 consid. 3a). Dopo adeguamento all'indice dei salari nominali per il 2003 (cfr. tab. B 10.3, pubblicata in La Vie économique, 9-2004, p. 95) si ottiene, per il 2003, un reddito annuo di fr. 51'983.64.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L'importo ritenuto dall'assicuratore LAINF convenuto a titolo di reddito da invalido, 44'062.-- (cfr. doc. 234; consid. 2.18.), è inferiore di circa il 15% rispetto al dato che è scaturito dall'applicazione della tabella TA13. Il TCA concorda con tale quantificazione (in questo contesto cfr. DTF 126 V 75 e SVR 2002 IV 19, p. 57ss.). Del resto, il TFA, in una sentenza del 6 gennaio 2004 nella causa L., U 107/03, ha ammesso una deduzione globale del 10%, trattandosi di un assicurato frontaliere, nato nel 1945, che, a causa del danno infortunistico all'occhio sinistro, era stato giudicato in grado di svolgere a tempo pieno professioni sostitutive non necessitanti di una vista stereoscopica. La stessa Corte federale, in una sentenza del 19 novembre 2003 nella causa R., U 232/02, ha poi operato una deduzione globale, definita generosa, del 20% nei confronti di un assicurato di nazionalità straniera che, a causa dell'evento traumatico subito al polso destro, era abile al lavoro al 100% con pieno rendimento in un'attività non implicante sforzi con il polso, in particolare movimenti ripetitivi e in rotazione o di forza della mano e del polso destri, né il trasposto di pesi con le due mani. La nostra Massima Istanza,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In una sentenza del 17 marzo 2003 nella causa A., U 230/01 e U 232/01, pubblicata parzialmente in DTF 129 V 283, il TFA ha ritenuto giustificata una deduzione globale del 15% nel caso di un assicurato nato nel 1961, di nazionalità straniera, che a seguito di un infortunio non ha più potuto esercitare la sua professione di istruttore di fitness, bensì delle attività commerciali e amministrative. Da parte sua, il TCA,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In conclusione, il grado di invalidità dell'insorgente - determinato confrontando i fr. 44'062.-- (fr. 51'983.64 decurtati del 15%) al reddito che egli avrebbe potuto conseguire se non fosse intervenuto l’infortunio, e cioè fr. 58'500.-- (cfr. consid. 2.15.) - risulta essere del 24.68%, arrotondato al 25% secondo la giurisprudenza di cui alla DTF 130 V 121, consid. 3.2. = SVR 2004 UV Nr. 11 pag. 41 (cfr. anche SVR 2004 UV Nr. 12 pag.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L'Istituto assicuratore convenuto ha riconosciuto all'assicurato una rendita di invalidità del 25%, per cui il ricorso va respinto. 2.20.   Nel ricorso l'assicurato ha indicato di aver inutilmente tentato di ottenere dall'CO1 la copertura dei costi relativi all'accertamento consistente nel test funzionale volto alla valutazione delle sue menomazioni funzionali, a cui si è privatamente sottoposto in seguito, l'11 e 12 marzo 2004, presso la Clinica __________ di __________ (cfr. doc. I; consid. 1.4.). Al riguardo occorre evidenziare che in ogni caso l'insorgente nel petitum del ricorso non ha preteso nulla in merito. A titolo abbondanziale va rilevato che nella sentenza pubblicata in RAMI 1994 U 182, p. 47s., il TFA ha stabilito che, se i fatti medici possono essere accertati in modo convincente solo sulla base delle risultanze di un referto prodotto dall’assicurato, è lecito assimilare l’esame ordinato dall’assicurato ad una perizia ordinata dall’assicuratore e, quindi, addossare a quest’ultimo i relativi costi ai sensi dell’art. 57 OAINF. In una sentenza del 27 agosto 2001 nella causa S., U 17/01, la nostra Corte federale ha condannato l'assicuratore infortuni ad assumere il costo di una perizia medica prodotta dall'assicurato nel quadro della procedura di opposizione, grazie alla quale era stato dimostrato che il tipo di esame esperito dall'assicuratore non consentiva di mettere in rilievo i reali disturbi accusati dall'assicurato e provocati da una importante lesione muscolare, precisando segnatamente che: " (…) si deve ritenere che l'interessato, per tutelare al meglio i propri diritti (DTF 115 V 63 consid. 5d), era di fatto obbligato a provocare nuove indagini, maggiormente approfondite, che permettessero di documentare e rendere oggettivabili i disturbi da lui realmente percepiti - e fatti effettivamente correlare dal perito giudiziario alla diagnosi da lui riscontrata -, ma di fatto negati dall'amministrazione, che ancora in sede di decisione su opposizione riteneva che "dal lato oggettivo, l'opponente non presenta alcuna lesione posttraumatica di significato clinico" e che la lieve irregolarità del tendine riscontrata non poteva causare alcun disturbo. Ne consegue pertanto che il rapporto 23 dicembre 1998, nonché il complemento 14 aprile 1999 del dott. X. devono essere ritenuti perlomeno necessari ai fini di un convincente accertamento dei fatti medici ai sensi della citata giurisprudenza (consid. 2). Per gli esiti del presente giudizio non può invece costituire motivo di rilievo il fatto che il perito giudiziario, a posteriori - dopo avere cioè disposto le opportune ricerche -, sia giunto alle medesime conclusioni dell'INSAI in merito alla sopravvenuta stabilizzazione dello stato valetudinario e alla capacità lavorativa dell'assicurato. " (STFA succitata, consid. 4c) Questa giurisprudenza è stata ripresa, nella sua sostanza, all'art. 45 cpv. 1 LPGA, il quale prevede che, qualora l'assicuratore non abbia ordinato alcun provvedimento, ne assume ugualmente le spese se i provvedimenti erano indispensabili per la valutazione del caso oppure se fanno parte di prestazioni accordate successivamente (cfr. U. Kieser, ATSG-Kommentar, Ed. Schulthess, Zurigo 2003, art. 45 N. 11s., p. 456s.). Nella concreta evenienza, il TCA rileva che l'CO1 per accertare quali conseguenze l'infortunio del giugno 1997 ha avuto per il ricorrente, oltre a sottoporlo alle visite del medico __________, specialista nell'ambito attinente al danno alla salute subito dall'insorgente, ha predisposto diversi controlli da parte del PD Dr. __________, primario sostituto del reparto di chirurgia ortopedica dell'__________ di __________, anche successivamente alla prima visita medica di chiusura del 7 febbraio 2002 (cfr. consid. 2.12.). Va, inoltre, segnalato, che dopo aver assunto il costo di diversi esami diagnostici, l'CO1, il 31 luglio 2002, si è fatto pure carico, a titolo eccezionale, di un'artro-MRI della spalla destra effettuata senza la relativa autorizzazione (cfr. doc. 192, 193, 194). Il test esperito presso la Clinica __________ l'11-12 marzo 2004 non ha condotto a nuovi risultati. La situazione, a livello dell'esigibilità lavorativa, era infatti già stata chiarita. La valutazione della capacità funzionale ha, del resto, confermato quanto certificato dal medico __________ (cfr. consid. 2.14.). In questo senso, il relativo costo non potrebbe essere posto a carico dell'CO1. 2.21.   Deve essere, infine, esaminato se l'assicurato può essere posto al beneficio dell'assistenza giudiziaria e del gratuito patrocinio, come da lui richiesto (cfr. I; consid. 1.4.). Come già indicato al consid. 2.2., il 1° gennaio 2003, è entrata in vigore la LPGA. Secondo la dottrina e la giurisprudenza, le disposizioni formali della LPGA (art. 27-62 LPGA), tra cui l’assistenza giudiziaria (art. 61 lett. f LPGA), sono immediatamente applicabili con l’entrata in vigore della nuova legge (cfr. SVR 2004 AHV Nr. 3 consid. 3.2.; SVR 2003 IV Nr. 25 consid. 1.2.; STFA del 23 ottobre 2003 nella causa K., H 73/03; STFA del 23 ottobre 2003 nella causa J., K 55/03; STFA del 20 marzo 2003 nella causa E., I 238/02; U. Kieser, ATSG-Kommentar, Ed. Schulthess, Zurigo 2003, art. 82 N. 8 pag. 820).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2.22.   Nel caso di specie dal certificato municipale per l'ammissione all'assistenza giudiziaria e dalla relativa documentazione allegata risulta che l'assicurato è coniugato e ha due figlie, l'una nata nel 1985, l'altra nel 1986. L'assicurato, oltre a percepire una rendita di invalidità da parte dell'assicuratore LAINF convenuto di fr. 1'042.--mensili, è al beneficio di una rendita AI e di rendite AI completive per la moglie e le figlie, di complessivi fr. 2'655.-- mensili (cfr. doc. XXXIIBIS). La moglie lavora a ore presso la __________, percependo uno stipendio mensile di circa fr. 1'000.-- e la figlia __________, quale apprendista, guadagna fr. 570.-- al mese (cfr. doc. XXXIIBIS). Con un reddito mensile di fr. 5'267.-- (fr. 1'042.-- + fr. 2'655.-- + fr. 1'000.-- + fr. 570.--) il ricorrente deve far fronte a diverse spese, fra le quali fr. 2'550.-- (fr. 1'550.-- per i genitori + fr. 500.-- per ciascuna delle figlie) corrispondenti all'importo base mensile. Tale ammontare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912.-- al mese, i premi dell'assicurazione contro le malattie, che dedotti i sussidi cantonali, sono pari a fr. 243.-- mensili (cfr. doc. XXXIIBIS), per cui si ottiene un onere globale di fr. 3'705.--. L'eccedenza mensile sarebbe, dunque, di fr. 1'562.-- (fr. 5'267.-- - fr. 3'705.--) da cui vanno però ancora dedotte le imposte pari all'ammontare approssimativo di fr. 200.-- al mese (cfr. doc. XXXIIBIS). L'insorgente presenta, di conseguenza, un'eccedenza mensile di perlomeno fr. 1'360.-- (fr. 16'320.-- annui), per cui, anche tenendo conto del fatto che il limite per ammettere lo stato di bisogno ai sensi delle disposizioni sull'assistenza giudiziaria è superiore al minimo di esistenza ai sensi del diritto esecutivo (cfr. consid. 2.21.), egli non può essere considerato indigente. Al riguardo va ricordato che in una sentenza del 16 dicembre 2003 nella causa O., (I 482/03) il TFA ha respinto la richiesta di assistenza giudiziaria in quanto una famiglia composta dei due genitori e di 3 figli disponeva di un'eccedenza mensile di circa fr. 950.--: " Der Ehemann der Beschwerdeführerin erzielt ein monatliches Einkommen von Fr. 6050.-- und erhält zusätzlich eine monatliche Spesenentschädigung von Fr. 400.--. Für die Ausgaben ist vom Grundbedarf gemäss Richtlinien der Konferenz der Betreibungs - und Konkursbeamtem der Schweiz vom 24. November 2000 in Höhe von Fr. 1550.-- für ein Ehepaar, Fr. 1000.-- für zwei Kinder über zwölf Jahren und Fr. 350.-- für ein Kind zwischen sechs und zwölf Jahren auszugehen (vgl. Jurius, Neue Richtlinien für die Berechnung des betreibungsrechtlichen Existenzminimums, Jusletter 5. März 2001 mit Hinweis), was gesamthaft Fr. 2900.-- ergibt. Unter Berücksichtigung der Ausgaben für Miete (Fr. 1825.--), Heiz - und Nebenkosten (Fr. 233.90), Krankenkasse (total Fr. 689.30), Versicherungen (Fr. 34.90) und Steuern (ca. Fr. 250.--) ergeben sich monatliche Ausgaben von Fr. 5933.10. Somit resultiert - unter Berücksichtigung der Spesenentschädigung - ein monatlicher Überschuss von etwa Fr. 450.--, wobei der dreizehnte Monatslohn des Ehemannes noch nicht berücksichtigt ist. Die Bedürftigkeit ist deshalb nicht ausgewiesen." In tali circostanze l'assicurato deve essere ritenuto in grado di far fronte alle spese legali. Difettando uno dei requisiti cumulativi per concedere l'assistenza giudiziaria, occorre concludere che la relativa istanza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