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35.2003.80 vom 27. August 2003</w:t>
      </w:r>
    </w:p>
    <w:p>
      <w:r>
        <w:t>TI Tribunale d'appello, 2003-08-27, IT</w:t>
      </w:r>
    </w:p>
    <w:p>
      <w:r>
        <w:rPr>
          <w:b/>
        </w:rPr>
        <w:t xml:space="preserve">Quelle: </w:t>
      </w:r>
      <w:r>
        <w:t>https://mcp.opencaselaw.ch/entscheid/ti_gerichte_35.2003.80</w:t>
      </w:r>
    </w:p>
    <w:p>
      <w:r>
        <w:t>FR: TI_GERICHTE 35.2003.80 du 27 août 2003</w:t>
      </w:r>
    </w:p>
    <w:p>
      <w:r>
        <w:t>IT: TI_GERICHTE 35.2003.80 del 27 agosto 2003</w:t>
      </w:r>
    </w:p>
    <w:p>
      <w:pPr>
        <w:pStyle w:val="Heading2"/>
      </w:pPr>
      <w:r>
        <w:t>Regeste</w:t>
      </w:r>
    </w:p>
    <w:p>
      <w:r>
        <w:t>Sentenza o decisione senza scheda</w:t>
      </w:r>
    </w:p>
    <w:p>
      <w:pPr>
        <w:pStyle w:val="Heading2"/>
      </w:pPr>
      <w:r>
        <w:t>Erwägungen</w:t>
      </w:r>
    </w:p>
    <w:p>
      <w:r>
        <w:rPr>
          <w:b/>
        </w:rPr>
        <w:t>E. 17</w:t>
      </w:r>
    </w:p>
    <w:p>
      <w:r>
        <w:t>maggio 2002 del SAM di Bellinzona si evince che, in data 29 marzo 2002, l'assicurata è stata periziata dal dott. __________, spec. FMH in psichiatria e psicoterapia, il quale ha posto la diagnosi di sindrome somatoforme da dolore persistente, patologia responsabile di una incapacità lavorativa valutabile attorno al 15/20% (a causa di difficoltà di concentrazione e della persistente preoccupazione per l'aggravarsi dei suoi disturbi soggettivi, cfr. doc. _, p. 7). Non risulta invece che il succitato psichiatra si sia pronunciato in merito alla natura, morbosa oppure traumatica, della diagnosticata affezione psichica. Questa Corte può esimersi dall'approfondire la questione a sapere se i problemi che __________ presenta a livello psichico costituiscano o meno una naturale conseguenza dell'evento traumatico del 19 agosto 1997. Infatti, anche nell'affermativa, la responsabilità de __________ non potrebbe comunque essere impegnata, facendo difetto l'adeguatezza del nesso di causalità, aspetto che deve essere valutato alla luce dei criteri sviluppati nella DTF 115 V 133ss. (cfr. STFA del 9 aprile 2003 nella causa C., U 164/02, consid. 4.1 e giurisprudenza ivi citata). In questo ordine di idee - essendo l'esame della causalità adeguata una mera questione giuridica - é inutile che il TCA ordini una perizia psichiatrica. 2.5.2.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2.5.3.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2.5.4.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2.5.5.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2.5.6.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DTF 117 V 384, consid. 4c; RAMI 2002 U 449, p. 53ss. consid. 4a). 2.5.7.   Come indicato al considerando 2.5.3., comuni cadute e scivolate vanno considerate come infortuni leggeri (cfr. DTF 115 V 139 consid. 6a; cfr., pure, RAMI 1992 U 154, p. 246, riguardante una caduta durante una partita di calcio e STFA del 9 gennaio 2003 nella causa C., U 347/01, concernente un'assicurata vittima di due scivolate, la prima su fondo ghiacciato, la seconda durante la pulizia di una doccia). Eccezionalmente, la questione della causalità adeguata va esaminata anche in quest'ambito secondo i criteri applicabili agli infortuni di media gravità (al limite degli infortuni leggeri), qualora le circostanze da considerare si cumulino e rivestano un'importanza particolare (cfr. RAMI 1998 U 297, p. 243ss.; STFA dell'8 aprile 2002 nella causa S., U 357/01, consid. 3b/bb). 2.5.8.   Nel caso concreto, in ossequio alla suevocata giurisprudenza federale, l'evento occorso alla ricorrente - la quale è semplicemente scivolata sulle scale che stava pulendo, riportando un trauma distorsivo alla caviglia destra - deve essere classificato fra gli infortuni leggeri e, pertanto, il nesso di causalità adeguata va negato a priori. Gli atti di causa non evidenziano inoltre circostanze concomitanti tali ha permettere di qualificare l'infortunio assicurato di una gravità che va oltre quella indicata. Comunque, i presupposti per riconoscere il nesso di causalità adeguata non sarebbero realizzati neppure se si volesse ammettere l'esistenza di un infortunio di grado medio al limite della categoria degli infortuni leggeri. Infatti, nell'apprezzamento dell’adeguatezza in materia di turbe psichiche, si devono considerare esclusivamente i disturbi di natura organica che si trovano in una relazione di causalità naturale (ed adeguata) con l'infortunio assicurato (cfr. RAMI 1999 U 341 p. 409 e 1993 U 166 p. 94 consid. 2c e riferimenti). Ora, nella presente fattispecie, oltre a non esservi circostanze concomitanti drammatiche, il danno riportato, una lesione legamentare parziale, non è grave né idoneo, secondo l'esperienza, a determinare disturbi psichici. Inoltre, i disturbi che l'assicurata risente alla caviglia destra correlano soltanto parzialmente con lo status oggettivabile a tale livello, come lo attestano le univoche certificazioni dei dottori __________ (cfr. doc. _: "Nel mio studio deambulava con una zoppia importante, ma quando se ne è andata, l'ho seguita fino all'ascensore, ho potuto constatare un miglioramento progressivo fino alla sparizione quasi totale di questa zoppia. (…). D'accordo con te, dopo il colloquio avuto con la paziente, penso che ci sia una componente psichica importante"), __________ (cfr. doc. _, p. 8: "La valutazione di questo caso è difficile in ragione della discrepanza tra l'anamnesi, l'esame clinico ed i referti radiologici. A livello della caviglia ds. l'esame clinico odierno, malgrado le difficoltà riscontrate, non mostra segni di lassità legamentare, la mobilità è discretamente diminuita. L'origine dei dolori lamentati dalla paziente non è chiara, l'unico elemento che si trova è un segno di Tinnel a livello della cicatrice laterale che può lasciar sospettare un neuroma, (…)"), __________ (doc. _, p. 8: "L'esame clinico permette di escludere una problematica di sinovite a livello della caviglia ds., nonché di instabilità. Vi è un disturbo della sensibilità a livello del calcagno non di chiara origine e una diminuzione della forza nell'estensione dorsale ed alla flessione plantare del piede, determinati, secondo me, da una mancanza di innervazione per paura del dolore. L'origine ben determinata di questi disturbi non é quindi eruibile dal punto di vista clinico. Neanche gli esami radiologici eseguiti e soprattutto la MRI della caviglia ds. del 23.07.1999, non hanno mostrato patologie rilevanti" e VI: "L'esame clinico di allora era comunque piuttosto blando, non evidenziando io alla visita né sinoviti né gonfiori articolari né limitazioni particolari della mobilità a livello dell'articolazione tibiotarsica. Vi era unicamente una dolenzia alla palpazione del malleolo laterale nonché lungo il dorso del piede fino ai metatarsi da I fino a V, nonché al calcagno di destra. Dolente anche la palpazione del tendine di achille e del polpaccio di destra. Gli esami radiologici eseguiti, in particolar modo le radiografie dell'articolazione tibiotarsica eseguita presso l'Ospedale __________ del 20.03.2002 non dava reperti sostanzialmente patologici") e __________ (doc. _, p. 5s.: "Oggettivamente, esistono disturbi funzionali alla caviglia destra, senza evidente instabilità della caviglia stessa con unicamente una minima diminuzione della mobilità. Non segni significativi di risparmio della gamba destra. Piedi piatti. Importante sovraccarico psichico. Come già constatato dai medici ortopedici, dal dr. __________ in occasione della visita del 21.09.99 e dal dr. __________ in occasione dell'esame del 7.05.02, il reperto locale del piede destro è molto scarso. Non vi è instabilità legamentare e quando si osserva la paziente in diversi momenti non c'è evidente diminuzione della mobilità tibio-tarsica. Non possiamo confermare la diagnosi di CRPS (Complex Regional Pain Syndrome), rispettivamente, di algodistrofia di riflesso che ha espresso il dr. med. __________, ortopedico, come diagnosi differenziale possibile. Le radiografie dell'articolazione tibio-tarsica AP e laterale del 20.03.02, rispettivamente del 14.04.03, non evidenziano fratture, artrosi o demineralizzazione"). Non vi è stata una cura medica errata che ha aggravato gli esiti dell'infortunio, né sono insorte delle complicazioni rilevanti. La durata della cura medica e dell'incapacità lavorativa non possono essere infine giustificate attraverso le sole conseguenze organiche dell'infortunio. 2.6. Rendita di invalidità 2.6.1.   Giusta l'art.</w:t>
      </w:r>
    </w:p>
    <w:p>
      <w:r>
        <w:rPr>
          <w:b/>
        </w:rPr>
        <w:t>E. 18</w:t>
      </w:r>
    </w:p>
    <w:p>
      <w:r>
        <w:t>cpv. 1 LAINF, l'assicurato invalido almeno al 10 per cento a seguito d'infortunio ha diritto alla rendita di invalidità. Secondo l'art. 8 cpv. 1 LPGA, è considerata invalidità l'incapacità la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Ciò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2.6.2.   A far tempo dal 1° marzo 2002, l'assicurata è stata posta al beneficio di ¼ di rendita AI, determinata da un grado di invalidità del 40%. La relativa decisione del 14 agosto 2003 è cresciuta in giudicato, così come il TCA ha accertato direttamente presso il competente Ufficio (cfr. nota manoscritta agli atti del vicecancelliere __________). La questione che si pone è quindi quella a sapere se, in ossequio alla giurisprudenza relativa al coordinamento fra l'assicurazione per l'invalidità e l'assicurazione contro gli infortuni, l'assicuratore LAINF convenuto è o meno vincolato alla valutazione dell'invalidità effettuata dall'UAI. È vero che la nozione di invalidità utilizzata nell'AI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Nondimeno,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Nella suevocata DTF 126 V 288, il TFA ha inoltre precisato quanto segue: "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(DTF succitata - la sottolineatura è del redattore). In una sentenza pubblicata in DTF 119 V 468, il TFA ha considerato insostenibile la valutazione degli organi dell'assicurazione per invalidità, siccome essa si scostava da quella ritenuta dall'assicuratore contro gli infortuni, fondata quest'ultima su delle conclusioni mediche convincenti riguardanti la capacità lavorativa e l'attività esigibile, nonché su un raffronto dei redditi correttamente eseguito. Nel caso di specie, il tasso di invalidità stabilito dall'AI non può determinare l'invalidità nell'ambito dell'assicurazione contro gli infortuni, nella misura in cui, oltre alla problematica interessante l'estremità inferiore destra, l'insorgente presenta pure dei disturbi psichici ed alla regione lombare, giudicati invalidanti (cfr. doc. _, p. 10: "I limiti lavorativi sono dati dallo stato dopo distorsione della caviglia ds., dalle lombalgie e dalla patologia psichiatrica, peraltro assai modesta") ma comunque estranei all'infortunio del 19 agosto 1997 (cfr. consid. 2.4.4. e 2.5.8.). 2.6.3.   Nella concreta evenienza, la __________ ha deciso di assegnare a __________ una rendita di invalidità del 10%, fondandosi sulla valutazione espressa dal dott. __________ in occasione della visita medica di controllo del 14 aprile 2003. Il citato specialista ha infatti indicato che l'assicurata, nonostante i postumi infortunistici residuali, è in grado di riprendere l'attività di ausiliaria di pulizie nella stessa misura in cui essa veniva svolta prima dell'infortunio occorso il 19 agosto 1997 (30 ore alla settimana), con uno scapito di rendimento di circa il 10% da imputare ad un certo rallentamento nell'esecuzione delle mansioni: " Nell'attività di donna di pulizia (impiego che la paziente aveva presso l'__________ quando è successo l'infortunio il 19.8.97) la paziente, per gli unici esiti dell'infortunio del 19.8.97, potrebbe continuare a lavorare con una frequenza di 30 ore alla settimana. Per gli unici esiti dell'infortunio del 19.8.97, vediamo un abbassamento del rendimento come inserviente di pulizia intorno al 10%, dovuto ad un certo rallentamento nell'esecuzione dei lavori di pulizia. Per quanto concerne la nuova attività di ausiliaria di cura presso la __________ dove deve occuparsi della pulizia degli anziani, di accompagnare gli anziani e dargli da mangiare, svolgere il lavoro sul malato con un'altra ausiliaria, vediamo come unici esiti dell'infortunio del 19.8.97 un abbassamento di rendimento attorno al 10-15%. " (doc. _, p. 7, risposta al quesito n. H 7) Il dott. __________ ha peraltro ancora precisato che della percentuale di incapacità lavorativa (e lucrativa) ritenuta dall'Ufficio AI (40%), il 50% è determinato dal sovraccarico psichico, ¼ va a carico della lombalgia cronica e, infine, ¼ a carico dell'infortunio al piede destro (cfr. doc. _, p. 7, risposta al quesito n. H 10). In corso di causa, questo Tribunale ha interpellato il dott. __________, spec. FMH in fisiatria e riabilitazione, il quale, nel mese di aprile 2002, aveva periziato __________ per conto dell'UAI. Questo specialista - secondo il quale l'assicurata, tenuto conto sia dei disturbi alla caviglia destra sia di quelli in sede lombare, va giudicata inabile al lavoro in misura massima del 25/30% nella sua abituale professione (cfr. doc. _, p. 8: "Tenendo in considerazione quindi questi aspetti dal punto di vista sia radiologico, sia clinico, ritengo che la paziente debba essere ritenuta al massimo inabile al lavoro nella forma del 25-30% in attività lavorative svolte attualmente. Se quest'attività lavorativa è per la paziente troppo pesante, penso che vi siano senz'altro altre professioni che potrebbero essere svolte in forma completa. (…)") - è stato invitato a precisare il grado dell'incapacità lavorativa presentata dalla ricorrente prendendo in considerazione esclusivamente i disturbi interessanti l'estremità inferiore destra e per rapporto all'attività di ausiliaria di pulizie (cfr. V). Con referto del 23 gennaio 2004, il dott. __________ ha affermato che, prendendo in considerazione unicamente la problematica alla caviglia destra, la limitazione della capacità lavorativa nell'attività svolta di donna di pulizie raggiunge al massimo il 15%: " (…). Ho visto come sa per una valutazione peritale nell'ambito di una valutazione presso il Servizio dell'Accertamento Medico dell'assicurazione Invalidità, la sopramenzionata assicurata in data 21.03.2002. Al momento della mia visita, dal punto di vista soggettivo erano prioritari i disturbi a livello della caviglia destra e nella zona pre-tibiale nonché al polpaccio destro. In particolar modo, dopo l'attività svolta di donna delle pulizie, la paziente risentiva di un importante esacerbazione dolorosa a livello del polpaccio e della caviglia di destra, con anche dei gonfiori. L'esame clinico di allora era comunque piuttosto blando, non evidenziando io alla visita né sinoviti né gonfiori articolari né limitazioni particolari della mobilità a livello dell'articolazione tibiotarsica. Vi era unicamente una dolenzia alla palpazione del malleolo laterale nonché lungo il dorso del piede fino ai metatarsi dal I fino a V, nonché al calcagno di destra. Dolente anche la palpazione del tendine d'achille e del polpaccio di destra. Gli esami radiologici eseguiti, in particolar modo le radiografie dell'articolazione tibiotarsica eseguita presso l'ospedale __________ del 20.03.2002, non dava reperti sostanzialmente patologici. La paziente presentava inoltre una sindrome lombovertebrale su delle alterazioni statiche, nonché uno stato dopo Morbo di Scheuermann e delle alterazioni degenerative plurisegmentali, in particolar modo a livello L3/L4, L4/L5 e L5/S1. Dalla mia valutazione di allora si deduce che dal punto di vista soggettivo i reperti principali siano localizzati a livello della caviglia destra e del polpaccio con una certa discrepanza rispetto ai reperti oggettivabili dal punto di vista clinico e radiologico. Per quanto riguarda la colonna vertebrale i disturbi erano meno accentuati, mentre i reperti radiologici in particolar modo quelli evidenziati dalla RM, lasciavano già evidenziare patologie di un certo rilievo, in particolar modo uno stato dopo morbo di Scheuermann e delle discopatie pluri-segmentali. Tenendo quindi in considerazione questi aspetti, ritengo che per quanto riguarda unicamente la caviglia destra, la limitazione della capacità lavorativa nell'attività svolta di donna di pulizie, raggiunga al massimo il 15%." (VI - la sottolineatura è del redattore) La valutazione della residua capacità lavorativa espressa dal fiduciario de __________ è quindi stata sostanzialmente condivisa dal dott. __________, motivo per cui questa Corte ritiene di poterla fare propria. È vero che per quest'ultimo l'inabilità lavorativa di __________ è di circa il 15%, contro il 10% indicato dal dott. __________. Nondimeno, in tal modo egli ha voluto prendere in considerazione la peggiore delle ipotesi, come lo testimonia l'espressione " al massimo il 15%" (cfr. VI, p. 2). Del resto, nel quantificare il grado dell'incapacità lavorativa di origine infortunistica, bisogna tenere in debito conto il fatto che i disturbi accusati alla ricorrente all'estremità inferiore destra sono solo scarsamente oggettivabili (cfr. consid. 2.5.8.). Ora, in materia di assicurazione contro gli infortuni, i disturbi risentiti dall'assicurato vengono di principio presi in considerazione soltanto nella misura in cui procedono da un danno alla salute oggettivamente dimostrabile (un'eccezione a questa regola è prevista in materia di traumi d'accelerazione alla colonna cervicale ed in materia di traumi cranio-cerebrali). Quanto sostenuto dall'assicurata con le proprie osservazioni del 3 febbraio 2004 (cfr. IX) non può essere condiviso, poiché tanto la problematica psichica quanto quella che riguarda la colonna lombare sono estranee all'evento dell'agosto 1997 e, pertanto, non se ne può neppure tenere conto nell'apprezzamento dell'incapacità lavorativa e lucrativa (cfr. consid. 2.4.4. e 2.5.8.). Tutto ben considerato, nella misura in cui all'insorgente è stata riconosciuta una rendita di invalidità del 10%, la decisione impugnata de __________ non presta il fianco a critiche. 2.7. Indennità per menomazione all'integrità 2.7.1.   Se al momento dell'estinzione del diritto alle cure mediche l'assicurato è ai sensi dell'art. 24 LAINF portatore di una menomazione importante e durevole all'integrità fisica o mentale, egli ha diritto a un'indennità per menomazione all'integrità (cfr. STFA del 28 giugno 2002 nella causa C., U 14/02).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2.7.2.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2.7.3.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2.7.4.   L'INSAI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2.7.5.   Nel caso di specie, l'assicuratore LAINF convenuto ha assegnato all'assicurata un'indennità per menomazione all'integrità del 5%, facendo riferimento all'apprezzamento enunciato dal dott. __________ in occasione della visita fiduciaria di controllo del 14 aprile 2003, nella quale il citato sanitario si è così espresso: " Secondo l'articolo 36 annesso 3 OAINF il reperto oggettivabile è funzionalmente da paragonare ad uno stato dove esiste una modica artrosi dell'articolazione tibio-tarsica. Secondo la tabella 5.2 per un'informazione medica sulla menomazione d'integrità della SUVA, un tale danno comporta una menomazione d'integrità del 5% " (doc. _, p. 7, risposta al quesito n. H 11). Il TCA ritiene corretta la valutazione del medico fiduciario de __________. Infatti, gli atti di causa dimostrano che, da un punto di vista oggettivo, l'assicurata presenta, tutt'al più, una moderata diminuzione della mobilità dell'articolazione tibio-tarsica. Al riguardo, è utile segnalare che la stessa tabella 5.2 prevede, per un'articolazione tibio-tarsica completamente bloccata (artrodesi), quindi per una menomazione decisamente più grave rispetto a quella presentata dalla ricorrente, la corresponsione di un'IMI del 15%. Con il proprio ricorso, __________ pretende invece un'IMI di almeno il 10% (cfr. I, p. 6). Da un lato, l'assicurata asserisce di non poter condividere la valutazione espressa dal dott. __________, in particolare "… in considerazione delle conclusioni degli altri specialisti …". Dall'altro, essa sostiene che, citiamo: "oltre alla tipologia della menomazione fisica vanno prese in considerazione tutte le circostanze oggettive riguardanti l'evento infortunistico e le relative conseguenze, oltre all'aspetto soggettivo, considerato che tale indennità è paragonabile a un'indennità per torto morale". In primo luogo, occorre ricordare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altresì, Th. Frei, Die Integritätsentschädigung nach Art. 24 und 25 des Bundesgesetzes über die Unfallversicherung, Tesi Friborgo 1998, p. 40s.). In questo senso, fattori quali l'età, la professione e le sofferenze soggettive patite dall'assicurata (cfr. I, p. 6), non possono essere presi in considerazione nella valutazione dell'indennità per menomazione all'integrità. In secondo luogo, il TCA osserva che l'insorgente ha sì affermato di non potere condividere la tesi del medico fiduciario de __________, tuttavia essa non ha avanzato il benché minimo argomento suscettibile di far dubitare della fondatezza dell'apprezzamento enunciato dal dott. __________. Anche il riferimento fatto alle "conclusioni degli altri specialisti" appare fuori luogo, nella misura in cui il dott. __________ è stato l'unico ad essersi pronunciato in merito all'entità della menomazione all'integrità di cui è portatrice __________. Rimane il fatto che, nel caso di specie, riveste una particolare importanza la circostanza che i disturbi soggettivamente risentiti dall'assicurata al piede destro, non hanno trovato una sufficiente correlazione sul piano oggettivo. Ora, se si tenesse conto di disturbi (soltanto) soggettivamente risentiti da un assicurato, non si giungerebbe più ad una valutazione astratta e egualitaria di una menomazione all'integrità. La decisione su opposizione impugnata deve dunque essere confermata anche su questo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