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35.2003.72 vom 26. Juni 2003</w:t>
      </w:r>
    </w:p>
    <w:p>
      <w:r>
        <w:t>TI Tribunale d'appello, 2003-06-26, IT</w:t>
      </w:r>
    </w:p>
    <w:p>
      <w:r>
        <w:rPr>
          <w:b/>
        </w:rPr>
        <w:t xml:space="preserve">Quelle: </w:t>
      </w:r>
      <w:r>
        <w:t>https://mcp.opencaselaw.ch/entscheid/ti_gerichte_35.2003.72</w:t>
      </w:r>
    </w:p>
    <w:p>
      <w:r>
        <w:t>FR: TI_GERICHTE 35.2003.72 du 26 juin 2003</w:t>
      </w:r>
    </w:p>
    <w:p>
      <w:r>
        <w:t>IT: TI_GERICHTE 35.2003.72 del 26 giugno 2003</w:t>
      </w:r>
    </w:p>
    <w:p>
      <w:pPr>
        <w:pStyle w:val="Heading2"/>
      </w:pPr>
      <w:r>
        <w:t>Regeste</w:t>
      </w:r>
    </w:p>
    <w:p>
      <w:r>
        <w:t>Sentenza o decisione senza scheda</w:t>
      </w:r>
    </w:p>
    <w:p>
      <w:pPr>
        <w:pStyle w:val="Heading2"/>
      </w:pPr>
      <w:r>
        <w:t>Erwägungen</w:t>
      </w:r>
    </w:p>
    <w:p>
      <w:r>
        <w:rPr>
          <w:b/>
        </w:rPr>
        <w:t>E. 38</w:t>
      </w:r>
    </w:p>
    <w:p>
      <w:r>
        <w:t>cpv. 1 LPGA) e - tenuto conto della sospensione durante il periodo 15 luglio-15 agosto 2003 (cfr. art. 38 cpv. 4 lett. b LPGA) - il ricorso dell'assicurato, consegnato alla posta il 27 ottobre 2003 (cfr. I), risulta pertanto essere ampiamente tempestivo. 2.2.   Nel ricorso, __________ chiede che il Tribunale accerti che, in ragione di un progressivo peggioramento dello stato di salute, la sua capacità lavorativa (e lucrativa) è divenuta inesistente già a far tempo dal 1° gennaio 1995, postulando perciò un aumento della rendita di invalidità, dal 50 al 100%, a contare appunto dall'inizio del 1995 (cfr. I, p. 6: "Il peggioramento è il frutto di un continuo acutizzarsi di uno stato patologico che perdura nel tempo con fasi alterne. Lo stato di invalidità è totale in quanto l'assicurato comunque dal 1995 non è più in grado di svolgere alcuna attività lavorativa. Di conseguenza al Signor __________ deve essere accordata una rendita di invalidità corrispondente al 100% (e non 50%) dal 1.1.1995"). Ora, con pronunzia cresciuta in giudicato del 17 luglio 1998, questa Corte ha già escluso che, perlomeno sino al mese di agosto 1997, le condizioni di salute del ricorrente avevano subito un aggravamento tale da giustificare un aumento del grado dell'invalidità: " La documentazione versata agli atti dimostra invece che la situazione attuale non é che la “fotocopia” di quella esistente al momento in cui l'__________ ha stabilito il grado d’invalidità: __________ presenta infatti sempre un’affezione cronica che, ora come allora, ha un carattere recidivante, nel senso che, in assenza di cure specifiche, si assiste a delle esacerbazioni di natura invalidante. Contrariamente a quanto pretende il ricorrente, nulla può mutare il fatto che, solo qualche tempo dopo la dimissione dalla __________ klinik di __________, vi sarebbe stata una ricaduta: ciò non é infatti che l’espressione del carattere recidivante dell’affezione, situazione questa che si trascina ormai da oltre un trentennio (cfr., ad es., doc. _)" (doc. _). Siccome il TCA, in virtù del principio " ne bis in idem ", non può essere chiamato a statuire nuovamente sul medesimo oggetto, nella misura in cui vi si chiede che il grado di invalidità venga aumentato a far tempo dal 1° gennaio 1995, il ricorso dell'assicurato deve essere dichiarato irricevibile. Così come ha pertinentemente osservato l'assicuratore LAINF in sede di risposta di causa (cfr. III, p. 2, pto. 1), a disposizione del ricorrente rimangono soltanto i rimedi straordinari di diritto, specificatamente la via della revisione giusta gli artt. 14 seg. LPTCA. Nessun motivo di revisione della sentenza del 17 luglio 1998 è stato fatto valere nell'ambito della presente procedura. Nel merito 2.3.   Con la sentenza del 17 luglio 1998, il TCA ha limitato il proprio esame alla situazione esistente fino alla data di emanazione dell'impugnata decisione su opposizione, quindi fino al mese di agosto 1997. In questa sede, deve pertanto essere verificato se dopo tale data il grado di invalidità dell'insorgente è o meno notevolmente mutato. A proposito della tesi, sostenuta dall'__________ con la decisione formale del 28 aprile 2003 (cfr. doc. _, secondo cui una revisione della rendita non sarebbe in concreto più possibile a causa del fatto che l'assicurato ha nel frattempo raggiunto i 65 anni questa Corte si limita ad osservare che - anteriormente al mese di novembre 2002 (mese in cui __________ ha compiuto i 65 anni) - egli ha in diverse occasioni domandato, in maniera più o meno esplicita, la revisione della sua rendita di invalidità (cfr. consid. 1.5.). Ora, essendo determinante il momento in cui l'assicurato presenta la domanda di revisione (cfr. Ghélew, Ramelet, Ritter, op. cit., p. 116: "Si l'assuré présente une demande de révision peu avant ce terme, l'assureur doit mettre en oeuvre la procédure, lors même que la décision de révision sera rendue seulement après que l'assuré aura atteint l'âge limite" e III, p. 2 pto. 2), la succitata tesi, qualora fosse stata riproposta in sede di decisione su opposizione, sarebbe stata dichiarata infondata. 2.4.   Secondo l'art. 22 LAINF, se il grado d'invalidità del beneficiario muta notevolmente, la rendita sarà corrispondentemente aumentata, ridotta oppure soppressa. La revisione non potrà, però, più essere effettuata a decorrere dal mese in cui il beneficiario ha compiuto 65, rispettivamente 62, anni d'età (cfr., su questo aspetto, STFA del 31 dicembre 1991 nella causa V.,  U 81/91). Il legislatore ha ripreso tale norma all'art. 17 cpv. 1 LPGA, giusta il quale se il grado d'invalidità del beneficiario della rendita subisce una notevole modificazione, per il futuro la rendita è aumentata o ridotta proporzionalmente o soppressa, d'ufficio o su richiesta. Da parte sua, l'art. 22 LAINF (nella versione in vigore a far tempo dal 1° gennaio 2003) recita che, in deroga all'art.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op. cit., p. 114). La revisione presuppone, dunque, che l'invalidità abbia subito sostanziali mutamenti dopo la costituzione della rendita o una sua successiva revisione. Conformemente alla sua costante giurisprudenza, il TFA considera che i principi dedotti dall'art. 41 LAI si applicano per analogia pure nell'ambito della revisione delle rendite d'invalidità assegnate dall'__________, indipendentemente dal fatto che essa sia disciplinata dall'art. 80 LAMI oppure dall'art. 22 LAINF (RAMI 1987 U 32 p. 446s.). 2.5.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(RCC 1989, p. 323, consid. 2a; DTF 113 V 275, consid. 1a; DTF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2.6.   Il mutamento deve, inoltre, essere notevole. Secondo la giurisprudenza resa prima dell'entrata in vigore della LAINF, la modifica doveva essere apprezzata relativamente al grado di invalidità precedentemente accertato: così, un mutamento del 5% é stato considerato notevole per rapporto ad un'invalidità del 15% ma poco importante per rapporto ad un'invalidità iniziale del 75% (Ghélew, Ramelet, Ritter, op. cit., p. 115 e dottrina ivi citata). 2.7.   Per rivedere una rendita d'invalidità non basta un semplice cambiamento passeggero: le circostanze di base devono mutare presumibilmente a lungo termine. In particolare, non é motivo di revisione un temporaneo aumento di guadagno dell'assicurato (cfr. Ghélew, Ramelet, Ritter, op. cit., p. 114). 2.8.   Determinante per la revisione è il raffronto tra le condizioni attuali e quelle esistenti al momento in cui la rendita fu costituita o successivamente riveduta. Tanto nel fissare inizialmente la rendita d'invalidità quanto nel rivederla successivamente si deve ipotizzare un mercato del lavoro in condizioni di normalità, cioè essenzialmente equilibrato. I mutamenti congiunturali, il passaggio, ad esempio, da una fase di recessione ad una di surriscaldamento economico,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é la diminuzione della capacità di guadagno, presunta permanente o di rilevante durata, cagionata da un danno alla salute fisica o psichica conseguente ad infortunio (art. 4 cpv. 1 LAI, art. 18 cpv. 2 LAINF, art. 9 cpv. 1 OAINF). Sola conta, infatti, per la determinazione dell'invalidità, l'incapacità lucrativa in nesso causale con il danno alla salute (che, a sua volta, nell'assicurazione obbligatoria contro gli infortuni, deve essere in relazione causale con l'infortunio). 2.9.   Il TCA ritiene che l'abbondante documentazione medica versata agli atti dall'assicurato, attentamente vagliata, non consenta di giungere ad una conclusione diversa rispetto a quella a cui questa Corte era pervenuta con il giudizio del 17 luglio 1998, ossia che le condizioni di salute del ricorrente non si sono notevolmente aggravate con l'andare del tempo. Infatti, essa testimonia di un decorso patologico cronico, caratterizzato da periodi di remissione (in coincidenza con le cure mediche prestategli) alternati a periodi di riacutizzazione della nota affezione dermatologica, un eczema diffuso da allergia al dicromato di potassio. Del resto, questa situazione è stata riconosciuta dall'assicurato stesso, il quale, con scritto del 25 febbraio 2003 indirizzato all'__________, affermava quanto segue, citiamo: " (…). Mi è doveroso comunicarvi che, nonostante i diversi ricoveri ospedalieri e tutte le cure prescrittemi, costantemente assistito dallo specialista, l'accenno al miglioramento continua a rivelarsi di brevissima durata. Questa realtà, ben documentata mediante cartelle cliniche, relazioni dello stato della dermopatologia e cure prescritte dallo specialista, periodicamente trasmesse a codesto Istituto, dura da oltre otto anni. Mi si consenta, pertanto, di insistere affinché mi venga legittimamente riconosciuta, ahimé, l'inabilità al cento per cento. (…) " (doc. _ - la sottolineatura è del redattore). Il tenore di questa lettera smentisce quanto sostenuto in sede di ricorso, ovvero il fatto che, dopo il 1998, l'insorgente avrebbe lamentato un peggioramento della sua malattia (cfr. I, p. 5: "Allegati quali doc. _ una serie di certificati medici che comprovano che il peggioramento è il frutto di un continuo e perdurante aggravamento di quest'affezione dermatologica negli anni 1999-2000"). I documenti ai quali l'assicurato fa accenno, prodotti sub doc. _, sono delle certificazioni del suo medico curante, dott. __________, dermatologo, e coprono il periodo che va dal settembre 1999 all'aprile 2000. Queste certificazioni, che peraltro  figuravano già nell'incarto __________, fanno stato di una situazione - delle manifestazioni eritemato-xerotiche interessanti più parti del corpo - analoga a quella già descritta, ad esempio, in occasione del ricovero dell'assicurato presso la __________ sklinik di __________ nel mese di gennaio 1997 (cfr. doc. _: "… Hauttyp III bis IV, Dermographismus ruber. Hyperkeratotisch teils rhagadiforme konfluierende papulöse erythematöse Hautveränderungen der Streckseiten Unterschenkel sowie der Oberschenkelstreckseiten und der Kniebeugen. Periumbilikal grösserer konfluierender ekzematöser Herd. Hyperkeratotisch rhagadiforme erythematöse papulöse Hautveränderungen der Hände dorsal betont. Geringgradige erythrosquamöse Hautveränderungen der dorsalen Flächen der Füsse ...” ). Anche l'allestimento di una perizia medica giudiziaria, richiesta dall'assicurato, secondo questa Corte, non apporterebbe dei nuovi (e rilevanti) elementi di valutazione.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simili condizioni, non sono dati gli estremi per procedere alla revisione della rendita di invalidità assegnata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