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35.2003.6 vom 14. Oktober 2002</w:t>
      </w:r>
    </w:p>
    <w:p>
      <w:r>
        <w:t>TI Tribunale d'appello, 2002-10-14, IT</w:t>
      </w:r>
    </w:p>
    <w:p>
      <w:r>
        <w:rPr>
          <w:b/>
        </w:rPr>
        <w:t xml:space="preserve">Quelle: </w:t>
      </w:r>
      <w:r>
        <w:t>https://mcp.opencaselaw.ch/entscheid/ti_gerichte_35.2003.6</w:t>
      </w:r>
    </w:p>
    <w:p>
      <w:r>
        <w:t>FR: TI_GERICHTE 35.2003.6 du 14 octobre 2002</w:t>
      </w:r>
    </w:p>
    <w:p>
      <w:r>
        <w:t>IT: TI_GERICHTE 35.2003.6 del 14 ottobre 2002</w:t>
      </w:r>
    </w:p>
    <w:p>
      <w:pPr>
        <w:pStyle w:val="Heading2"/>
      </w:pPr>
      <w:r>
        <w:t>Regeste</w:t>
      </w:r>
    </w:p>
    <w:p>
      <w:r>
        <w:t>Sentenza o decisione senza scheda</w:t>
      </w:r>
    </w:p>
    <w:p>
      <w:pPr>
        <w:pStyle w:val="Heading2"/>
      </w:pPr>
      <w:r>
        <w:t>Erwägungen</w:t>
      </w:r>
    </w:p>
    <w:p>
      <w:r>
        <w:rPr>
          <w:b/>
        </w:rPr>
        <w:t>E. 5</w:t>
      </w:r>
    </w:p>
    <w:p>
      <w:r>
        <w:t>teilbar sind. Es fragt sich, ob auch feiner abgestuft werden kann. Die Frage darf grundsätzlich bejaht werden. Die Liste erfasst nur die Regelfälle (Ziff. 1 Abs. 1 der Richtlinien). Wenn ein zu beurteilender Schaden kleiner oder grösser ist als der klassische Fall, so rechtfertigt es sich ausnahmsweise, eine Feinabstufung vorzunehmen und Zwischenwerte wie 331/3% oder 662/3% oder 121/2% usw. zu wählen. " (W. Gilg/H. Zollinger, Die Integritätsentschädigung, Berna 1984, p. 54; cfr., nello stesso senso, Th. Frei, Die Integritätsentschädi- gung nach Art. 24 und 25 des Bundesgesetzes über die Unfall- versicherung, Tesi Friborgo 1998, p. 41, nonché p. 44, a proposito della possibilità di scostarsi dai valori indicativi contenuti nelle tabelle edite dalla Divisione medica dell'NSAI: "Die Richtwerte der _______-Tabellen gelten also auch nur für den "Regelfall", weshalb bei medizinischen Sonderfällen Abweichungen zulässig sind"). D'altro canto, anche la giurisprudenza federale ha già avuto modo di pronunciarsi in questo senso, avallando - nella DTF 113 V 218ss. concernente un assicurato portatore di un'amputazione transmetacarpale del dito indice destro - la valutazione enunciata dai medici fiduciari dell'_______: "(…). … Dr. med. B. bemass in seinem Bericht vom 24. Juni 1985 den Integritätsschaden auf 7.5%. Er ging davon aus, dass nach Figur 17 der Tabelle 3 betreffend Integritätsschaden bei einfachen oder kombinierten Finger-, Hand- und Armverlusten (Mitteilungen der Medizinischen Abteilung der SUVA, Nr. 57 S. 22 ff.) für eine transmetakarpale Amputation des Kleinfingerstrahls der Integritätsschaden mit 5% gleich hoch wie für den Verlust des Kleinfingers im Grundgelenk. Der Zeigefinger sei aber für die Gebrauchsfähigkeit der Hand bedeutsamer als der Kleinfinger, weshalb der Schaden für einen Zustand nach transmetakarpaler Zeigefingeramputation höher als 5% zu bemessen sei. Er liege indessen nicht so hoch, als wenn Zeigefinger und Kleinfinger beide im Grundgelenk amputiert wären, was nach Figur 29 der Tabelle 3 einen Integritätsschaden von 10% ergibt. Die Einschätzung wurde durch Dr. med. R., Spezialarzt FMH für Chirurgie und Chef der Gruppe Unfallmedizin der SUVA, bestätigt: Namentlich im Vergleich zur vorliegenden Schädigung zeigte die Totalamputation des Zeigefingers und des Kleinfingers einen Zustand, der funktionell und vor allem kosmetisch wesentlich gravierender sei. Im übrigen lasse sich für die Vierfingerhand hinsichtlich der Integritätsschädigung eine Unterscheidung zwischen dominanter und nicht dominanter Hand nicht begründen (Bericht vom 9. Juli 1986). (…). … Es bestand nach dem Gesagten kein Grund, von der Einschätzung des Integritätsschadens durch die __________, welche sich im Rahmen der Tabelle 3 ihrer Medizinischen Abteilung hält, abzuweichen. (…). Der vorinstanzliche Entscheid ist deshalb insoweit aufzuheben, als die SUVA verpflichtet wurde, eine über 7.5% liegende Integritätsentschädigung auszurichten " (DTF succitata, consid. 3a e 5). Nel caso di specie, è stato accertato che la menomazione di cui è portatore il ricorrente è più importante rispetto a quella dell'assicurato V., indennizzata con un'indennità del 10%. Per contro, il caso di R. è meno grave rispetto a quello di colui che presenta una "spalla mobile fino all'orizzontale", il quale ha diritto ad un'IMI del 15% (cfr. tabella INSAI 1.2). Tutto ben considerato, in ossequio a quanto stabilito dalla dottrina e dalla giurisprudenza, nonché allo scopo di garantire l'uguaglianza di trattamento fra gli assicurati, questa Corte ritiene corretto assegnare all'insorgente un'indennità per menomazione dell'integrità del 12.5% . Come è possibile arguire dallo scritto 7 gennaio 2002 del dottor C. (cfr. XXV), un'ulteriore, più "sottile", graduazione non può entrare in linea di conto, siccome racchiude in sé il rischio di cadere nell'arbitrio. " (STCA succitata) La decisione impugnata deve dunque essere confermata anche su questo punto.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