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35.2003.16 vom 28. Oktober 2002</w:t>
      </w:r>
    </w:p>
    <w:p>
      <w:r>
        <w:t>TI Tribunale d'appello, 2002-10-28, IT</w:t>
      </w:r>
    </w:p>
    <w:p>
      <w:r>
        <w:rPr>
          <w:b/>
        </w:rPr>
        <w:t xml:space="preserve">Quelle: </w:t>
      </w:r>
      <w:r>
        <w:t>https://mcp.opencaselaw.ch/entscheid/ti_gerichte_35.2003.16</w:t>
      </w:r>
    </w:p>
    <w:p>
      <w:r>
        <w:t>FR: TI_GERICHTE 35.2003.16 du 28 octobre 2002</w:t>
      </w:r>
    </w:p>
    <w:p>
      <w:r>
        <w:t>IT: TI_GERICHTE 35.2003.16 del 28 ottobre 2002</w:t>
      </w:r>
    </w:p>
    <w:p>
      <w:pPr>
        <w:pStyle w:val="Heading2"/>
      </w:pPr>
      <w:r>
        <w:t>Volltext</w:t>
      </w:r>
    </w:p>
    <w:p>
      <w:r>
        <w:t>Raccomandata</w:t>
      </w:r>
    </w:p>
    <w:p>
      <w:r>
        <w:t>Incarto n.35.2003.16</w:t>
      </w:r>
    </w:p>
    <w:p>
      <w:r>
        <w:t>dc/fz</w:t>
      </w:r>
    </w:p>
    <w:p>
      <w:r>
        <w:t>Lugano</w:t>
      </w:r>
    </w:p>
    <w:p>
      <w:r>
        <w:t>7 aprile 2003</w:t>
      </w:r>
    </w:p>
    <w:p>
      <w:r>
        <w:t>In nomedella Repubblica e Cantonedel Ticino</w:t>
      </w:r>
    </w:p>
    <w:p>
      <w:r>
        <w:t>Il presidente del Tribunale cantonale delle assicurazioni</w:t>
      </w:r>
    </w:p>
    <w:p>
      <w:r>
        <w:t>Giudice Daniele Cattaneo</w:t>
      </w:r>
    </w:p>
    <w:p>
      <w:r>
        <w:t>visto il ricorso del 20 febbraio 2003 interposto da</w:t>
      </w:r>
    </w:p>
    <w:p>
      <w:r>
        <w:t>__________</w:t>
      </w:r>
    </w:p>
    <w:p>
      <w:r>
        <w:t>contro</w:t>
      </w:r>
    </w:p>
    <w:p>
      <w:r>
        <w:t>la decisione del 28 ottobre 2002 emanata da</w:t>
      </w:r>
    </w:p>
    <w:p>
      <w:r>
        <w:t>__________</w:t>
      </w:r>
    </w:p>
    <w:p>
      <w:r>
        <w:t>in materia di assicurazione contro gli infortuni</w:t>
      </w:r>
    </w:p>
    <w:p>
      <w:r>
        <w:t>letti ed esaminati gli atti;</w:t>
      </w:r>
    </w:p>
    <w:p>
      <w:r>
        <w:t>visto in particolare lo scritto della parte convenuta che precisa di aver emesso in data 18 marzo 2003 una nuova decisione con la quale vengono integralmente accolte le conclusioni dell'atto di ricorso e viene annullata la precedente decisione qui impugnata;</w:t>
      </w:r>
    </w:p>
    <w:p>
      <w:r>
        <w:t>ricordato che, ai sensi dell'art. 3a cpv. 1 della Legge di procedura per i ricorsi al Tribunale cantonale delle assicurazioni (LPTCA), l'autorità amministrativa può, fino all'invio della sua risposta, riesaminare la decisione impugnata;</w:t>
      </w:r>
    </w:p>
    <w:p>
      <w:r>
        <w:t>ritenuto che comunque, anche l'avv. __________, con scritto  03.04.03  ha comunicato il ritiro del ricorso aderendo alla nuova decisione della Cassa e postulato l'assegnazione di adeguate ripetibili (VII);</w:t>
      </w:r>
    </w:p>
    <w:p>
      <w:r>
        <w:t>rilevato che di conseguenza il gravame è divenuto privo di oggetto;</w:t>
      </w:r>
    </w:p>
    <w:p>
      <w:r>
        <w:t>decreta1. il ricorso di cui sopra èstralciato dai ruoli;</w:t>
      </w:r>
    </w:p>
    <w:p>
      <w:r>
        <w:t>2.   non si percepiscono né tasse né spese; la convenuta verserà alla ricorrente a titolo di ripetibili fr. 1'000.--;</w:t>
      </w:r>
    </w:p>
    <w:p>
      <w:r>
        <w:t>Il presidente</w:t>
      </w:r>
    </w:p>
    <w:p>
      <w:r>
        <w:t>del Tribunale cantonale delle assicurazioni</w:t>
      </w:r>
    </w:p>
    <w:p>
      <w:r>
        <w:t>Daniele Cattaneo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