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35.2002.32 vom 5. März 2002</w:t>
      </w:r>
    </w:p>
    <w:p>
      <w:r>
        <w:t>TI Tribunale d'appello, 2002-03-05, IT</w:t>
      </w:r>
    </w:p>
    <w:p>
      <w:r>
        <w:rPr>
          <w:b/>
        </w:rPr>
        <w:t xml:space="preserve">Quelle: </w:t>
      </w:r>
      <w:r>
        <w:t>https://mcp.opencaselaw.ch/entscheid/ti_gerichte_35.2002.32</w:t>
      </w:r>
    </w:p>
    <w:p>
      <w:r>
        <w:t>FR: TI_GERICHTE 35.2002.32 du 5 mars 2002</w:t>
      </w:r>
    </w:p>
    <w:p>
      <w:r>
        <w:t>IT: TI_GERICHTE 35.2002.32 del 5 marzo 2002</w:t>
      </w:r>
    </w:p>
    <w:p>
      <w:pPr>
        <w:pStyle w:val="Heading2"/>
      </w:pPr>
      <w:r>
        <w:t>Regeste</w:t>
      </w:r>
    </w:p>
    <w:p>
      <w:r>
        <w:t>Sentenza o decisione senza scheda</w:t>
      </w:r>
    </w:p>
    <w:p>
      <w:pPr>
        <w:pStyle w:val="Heading2"/>
      </w:pPr>
      <w:r>
        <w:t>Erwägungen</w:t>
      </w:r>
    </w:p>
    <w:p>
      <w:r>
        <w:rPr>
          <w:b/>
        </w:rPr>
        <w:t>E. 10</w:t>
      </w:r>
    </w:p>
    <w:p>
      <w:r>
        <w:t>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2.4.   Va comunque ricordato che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(LAA),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In virtù dell’art. 11 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del 31 luglio 2001 nella causa H., U 122/00). 2.7.   Dalle tavole processuali emerge che l'Istituto assicuratore convenuto ha negato il proprio obbligo contributivo a contare dal 10 dicembre 2001, sostenendo che l'operazione chirurgica eseguita l'11 dicembre 2001 presso l'__________ e l'incapacità lavorativa che ne è derivata, non sarebbero da ricondurre ad un danno alla salute che si trova in una relazione di causalità naturale con l'uno o altro degli infortuni assicurati. Così facendo, l'assicuratore LAINF si è essenzialmente rimesso al rapporto 10 gennaio 2002 del medico di circondario, il dottor __________, spec. FMH in chirurgia ortopedica: " (…) Nel 1998 l'assicurato ha subito un incidente (non __________) con il motorino, procurandosi una frattura della tibia sinistra, per cui è operato tramite osteosintesi aperta con chiodo universale, non bloccato alla tibia sinistra. Il 19.10.2001, nell'intento di uscire dall'automobile, ha sbattuto violentemente lo stinco sinistro contro lo spigolo della portiera. Inabilità lavorativa di 6 giorni. Il 26.11.2001 gli cade un pannello sulla gamba sinistra. Il 26.11.2001, al Pronto soccorso, si trova uno stato dopo contusione della tibia sinistra. Inabilità lavorativa presumibile di 3 giorni. Hanno prodotto l'asportazione del materiale d'osteosintesi ed una correzione della gamba, vista la mal rotazione della tibia a causa dell'intervento di 3 anni fa. L'11.12.2001 viene eseguita un'osteotomia di derotazione, una valgizzazione e flessione dopo asportazione materiale d'osteosintesi. VALUTAZIONE Quest'ultimo intervento è sicuramente stato eseguito per la correzione di una mal-unione, a seguito dell'osteotomia di 3 anni fa. Il piede era rotato internamente. In occasione della visita al PS (26.11.01) l'assicurato chiede l'asportazione del materiale d'osteosintesi e vista la mal-unione, si è proceduto pure all'intervento summenzionato. Quest'intervento non è però da mettere in relazione con gli ultimi due infortuni, nei quali l'assicurato ha contuso unicamente la gamba. Una semplice contusione non può causare una mal-unione o una mal-rotazione della gamba . L'intervento da parte nostra è da rifiutare e la causalità tra i due ultimi infortuni è estinta." (doc. _ - la sottolineatura è del redattore) La tesi difesa dall'__________ - o per meglio dire dal proprio medico di fiducia - è stata genericamente censurata da __________, a mente del quale il violento impatto del pannello sulla tibia sinistra avrebbe provocato menomazioni che hanno reso necessario l'intervento chirurgico del dicembre 2001 (cfr. I, p. 5). Attentamente esaminata la documentazione presente all'inserto, questo TCA non ritiene di dover dare seguito alle censure sollevate dall’insorgente. Infatti, l’opinione del dottor __________ può validamente costituire da supporto probatorio al presente giudizio,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in re S., 5 aprile 1984 in re M. e 2 novembre 1983 in re M.; U. Meyer-Blaser, Die Rechtspflege in der Sozialversicherung, in BJM 1989 pag. 30 seg.). Nella DTF 125 V 351 seg. (= SVR 2000 UV Nr. 10, p. 33ss. e RAMI 1999 U 356, p. 572) , la nostra Corte federale ha ancora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U 133 p. 311 consid. 1; RAMI 1996 U 252 p. 191ss.; DTF 122 V 160ss. consid. 1c e riferimenti). Realizzate queste condizioni, i pareri redatti dai medici dell'______ hanno pieno valore probatorio, anche quando essi si sono espressi unicamente in base agli atti, dunque senza visitare personalmente l'assicurato (cfr. STFA del 10 settembre 1998 nella causa R., U 143/98 e STFA del 2 luglio 1996 nella causa A., U 49/95). Quanto affermato dall'insorgente, non soltanto è contrario all'apprezzamento espresso dal dottor __________, specialista proprio nella materia che qui interessa, ma non trova neppure conferma nella restante documentazione medica presente all'inserto. In effetti, con certificato del 14 dicembre 2001, i sanitari dell'__________ hanno dichiarato che l'osteosintesi di correzione dell'11 dicembre 2001 si è resa necessaria per un callo vizioso 3 anni dopo osteosintesi aperta con chiodo universale a livello della tibia sinistra su frattura della gamba sinistra (cfr. doc. _). D'altra parte, lo stesso medico curante del ricorrente, il dottor __________, in data</w:t>
      </w:r>
    </w:p>
    <w:p>
      <w:r>
        <w:rPr>
          <w:b/>
        </w:rPr>
        <w:t>E. 14</w:t>
      </w:r>
    </w:p>
    <w:p>
      <w:r>
        <w:t>dicembre 2001, ha riferito di un decorso favorevole, sottolineando la guarigione della piccola escoriazione (2x2 cm) con raggiungimento dello status quo ante . Il dottor __________ ha altresì rilevato, da un canto, che i dolori lamentati da __________ erano probabilmente causati dal callo osseo della pregressa frattura che si trovava nella zona contusa e, d'altro canto, che la nota operazione di correzione alla tibia era addirittura stata pianificata già prima che l'assicurato rimanesse vittima dell'evento traumatico del novembre 2001 (cfr. doc. _). In queste condizioni, è dunque a ragione che l'Istituto assicuratore convenuto si é rifiutato di prendere a proprio carico i costi generati dalla nota operazione chirurgica nonché di indennizzare l'incapacità lavorativa che ne è risultata. 2.8.   __________ - a titolo sussidiario - ha fatto valere che l'obbligo prestativo dell'__________ deriverebbe dalla Convenzione di sicurezza sociale fra la Svizzera e la Repubblica di __________ del 1° gennaio 1969 (RS 0.831.109.763.1). Lo scrivente TCA non può condividere questa opinione. Gli atti di causa dimostrano che i disturbi all'arto inferiore sinistro che hanno reso necessario l'intervento operatorio dell'11 dicembre 2001, costituiscono una ricaduta dell'infortunio occorso all'insorgente nel 1998. All'epoca, egli si trovava ancora in ________ (prima entrata in Svizzera il 1° agosto 2000, cfr. doc. _) e, pertanto, non era ancora assicurato contro gli infortuni presso l'__________ (cfr. l'art. 1 cpv. 1 e 3 cpv. 1 LAINF). Al considerando 2.6. si è già detto che il diritto a prestazioni presuppone che il danno alla salute si trovi in una relazione di causalità (naturale ed adeguata) con un evento assicurato. Ciò non è evidentemente il caso nella presente fattispecie, giacché l'incidente della circolazione del 1998 è sopravvenuto ad un'epoca in cui non esisteva ancora copertura assicurativa presso l'__________. L'invocata convenzione internazionale, da parte sua, non contiene alcuna disposizione che consenta di derogare a questa chiara situazione giuridica. In particolare, non può qui trovare applicazione l'art. 17 §2, giusta il quale se i cittadini turchi e svizzeri hanno diritto, secondo le disposizioni legali di una delle Parti contraenti, a prestazioni in natura in caso di infortunio sul lavoro o di malattia professionale, essi fruiscono delle prestazioni in natura, ove abbiano trasferito la loro residenza, durante la cura medica, nel territorio dell'altra Parte, previo consenso dell'istituto assicurativo competente, fatto salvo il diritto di ottenere la rifusione delle prestazioni per l'istituto assicurativo che le ha anticipate (cfr. art. 19). In effetti, la succitata disposizione convenzionale regola una fattispecie diversa rispetto a quella sub judice . Essa vuole permettere ad un cittadino di uno Stato contraente di continuare a beneficiare delle prestazioni in natura, anche qualora, in corso la cura medica, egli trasferisca la propria residenza sul territorio dell'altro Stato. Ora, al momento in cui __________ ha trasferito la propria residenza in Svizzera, i trattamenti relativi ai postumi dell'infortunio del 1998 erano conclusi (cfr. doc. _). 2.9.   Con il proprio gravame, l'assicurato ha domandato di essere posta al beneficio dell'assistenza giudiziaria e del gratuito patrocinio (cfr. I, p. 7). Secondo la giurisprudenza, i presupposti per la concessione dell'assistenza giudiziaria sono di massima adempiuti se il richiedente si trova nel bisogno, se l'assistenza di un avvocato è necessaria o perlomeno indicata e se le sue conclusioni non sembrano avere esito sfavorevole (cfr. DTF 125 V 202 consid. 4a e 372 consid. 5b, ambedue con riferimenti). Nel caso di specie, a prescindere dal quesito di sapere se il ricorrente si trovi effettivamente nel bisogno, l'ultimo presupposto non è dato; l'inammissibilità del gravame del 13 maggio 2002 risultava in effetti evidente. È pertanto da respingere la domanda intesa ad ottenere la concessione dell'assistenza giudiziaria e del gratuito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