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35.2001.23 vom 11. September 2000</w:t>
      </w:r>
    </w:p>
    <w:p>
      <w:r>
        <w:t>TI Tribunale d'appello, 2000-09-11, IT</w:t>
      </w:r>
    </w:p>
    <w:p>
      <w:r>
        <w:rPr>
          <w:b/>
        </w:rPr>
        <w:t xml:space="preserve">Quelle: </w:t>
      </w:r>
      <w:r>
        <w:t>https://mcp.opencaselaw.ch/entscheid/ti_gerichte_35.2001.23</w:t>
      </w:r>
    </w:p>
    <w:p>
      <w:r>
        <w:t>FR: TI_GERICHTE 35.2001.23 du 11 septembre 2000</w:t>
      </w:r>
    </w:p>
    <w:p>
      <w:r>
        <w:t>IT: TI_GERICHTE 35.2001.23 del 11 settembre 2000</w:t>
      </w:r>
    </w:p>
    <w:p>
      <w:pPr>
        <w:pStyle w:val="Heading2"/>
      </w:pPr>
      <w:r>
        <w:t>Regeste</w:t>
      </w:r>
    </w:p>
    <w:p>
      <w:r>
        <w:t>Sentenza o decisione senza scheda</w:t>
      </w:r>
    </w:p>
    <w:p>
      <w:pPr>
        <w:pStyle w:val="Heading2"/>
      </w:pPr>
      <w:r>
        <w:t>Erwägungen</w:t>
      </w:r>
    </w:p>
    <w:p>
      <w:r>
        <w:rPr>
          <w:b/>
        </w:rPr>
        <w:t>E. 15</w:t>
      </w:r>
    </w:p>
    <w:p>
      <w:r>
        <w:t>marzo 2000 del dottor __________ (doc. _ - inc. 35.2000.00087), così come dall'ulteriore documentazione medica presente all'inserto. I dottori __________ e __________ hanno, nondimeno, dichiarato che la perdita di tempo nel porre la corretta diagnosi e nel definire il trattamento adeguato, ha giocato un ruolo concausale relativamente all'infausta evoluzione della suddetta affezione infettiva (cfr. doc. _, p. 9: "… è da ritenere che il ritardo con cui è stato disposto il ricovero presso una Divisione Oculistica più attrezzata di quella della Casa di Cura __________ abbia svolto un ruolo concausale nell'evoluzione sfavorevole della infezione intraoculare che ha portato alla perdita della vista in occhio destro"). Ora, a mente del TCA, né il fatto che il dottor __________, in un primo tempo, abbia posto l'imprecisa diagnosi di uveite né il fatto che il medesimo sanitario abbia atteso ben due giorni prima di ordinare il ricovero dell'assicurato presso la Divisione di oculistica dell'ospedale di __________, si appalesano come delle nuove circostanze suscettibili di fondare l'istanza di revisione presentata da __________, giacché si tratta di fatti che erano già ampiamente noti nell'ambito della procedura principale (cfr., ad esempio, il memoriale 14.1.2000 allestito dall'assicurato stesso - doc. _ - inc. 35.2000.00087). A questo proposito, vale ancora la pena ricordare che non costituisce un nuovo mezzo di prova, la perizia che valuta semplicemente in maniera diversa la medesima fattispecie (cfr. Th. Locher, Grundriss des Sozialversicherungsrechts, Berna 1997, p. 364 e giurisprudenza ivi citata). In siffatte condizioni - accertato che __________ non é qui riuscito a far valere alcuna nuova circostanza né alcun nuovo mezzo di prova - la sua istanza di revisione 28 marzo 2001 si rivela infondata. 2.6.   Vista la conclusione a cui si è pervenuti al precedente considerando, questa Corte può tranquillamente esimersi dal verificare se __________ sia o meno entrato in possesso della perizia dei dottori __________ e __________ in tempo utile per impugnare la pronunzia cantonale innanzi al TFA (cfr. II,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