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35.2001.19 vom 5. Januar 2001</w:t>
      </w:r>
    </w:p>
    <w:p>
      <w:r>
        <w:t>TI Tribunale d'appello, 2001-01-05, IT</w:t>
      </w:r>
    </w:p>
    <w:p>
      <w:r>
        <w:rPr>
          <w:b/>
        </w:rPr>
        <w:t xml:space="preserve">Quelle: </w:t>
      </w:r>
      <w:r>
        <w:t>https://mcp.opencaselaw.ch/entscheid/ti_gerichte_35.2001.19</w:t>
      </w:r>
    </w:p>
    <w:p>
      <w:r>
        <w:t>FR: TI_GERICHTE 35.2001.19 du 5 janvier 2001</w:t>
      </w:r>
    </w:p>
    <w:p>
      <w:r>
        <w:t>IT: TI_GERICHTE 35.2001.19 del 5 gennaio 2001</w:t>
      </w:r>
    </w:p>
    <w:p>
      <w:pPr>
        <w:pStyle w:val="Heading2"/>
      </w:pPr>
      <w:r>
        <w:t>Regeste</w:t>
      </w:r>
    </w:p>
    <w:p>
      <w:r>
        <w:t>Sentenza o decisione senza scheda</w:t>
      </w:r>
    </w:p>
    <w:p>
      <w:pPr>
        <w:pStyle w:val="Heading2"/>
      </w:pPr>
      <w:r>
        <w:t>Erwägungen</w:t>
      </w:r>
    </w:p>
    <w:p>
      <w:r>
        <w:rPr>
          <w:b/>
        </w:rPr>
        <w:t>E. 1</w:t>
      </w:r>
    </w:p>
    <w:p>
      <w:r>
        <w:t>È o meno corretto affermare che fra la lesione meniscale e l'infortunio del 23.10.1996 non esiste una relazione di causalità diretta perlomeno probabile: a mio modo di vedere non esiste nessuna causalità diretta tra la lesione meniscale del ginocchio sin. ed il trauma del 23.10.1996 .</w:t>
      </w:r>
    </w:p>
    <w:p>
      <w:r>
        <w:rPr>
          <w:b/>
        </w:rPr>
        <w:t>E. 2</w:t>
      </w:r>
    </w:p>
    <w:p>
      <w:r>
        <w:t>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114 V 208ss. consid. 3c; RAMI 1988 p. 372 e 375; Ghélew, Ramelet, Ritter, op. cit., p. 58; A. Maurer, op. cit., p. 202).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 22, p. 81s.; DTF 123 V 44 e 45 consid. 2b, 116 V 155 consid. 6c, 114 V 301 consid. 3c; RAMI 1988 U57 p. 373 consid. 4b; A. Bühler, Die unfallähnliche Körperschädigung, in SZS 1996, p. 84). Per ammettere l’esistenza di un nesso di causalità naturale, é sufficiente che un evento infortunistico si trovi parzialmente all’origine del danno alla salute, anche solo quale fattore scatenante (cfr. DTF 123 V 45 consid. 2b, confermata recentemente con la STFA 5.6.2001 in re INSAI c/ SWICA e E. [U 398/00]). D’altro canto, le lesioni enumerate all’art. 9 cpv. 2 OAINF lett. a-h devono avere avuto una causa esterna, senza la quale non si può parlare di lesione assimilata ad infortunio (DTF 123 V 45 consid. 2b, 116 V 147s consid. 2c, 114 V 301 consid. 3c; RAMI 1988 U57 p. 373 consid. 4b; STFA 5.6.2001 succitata; Bühler, op. cit., p. 8). 2.6.7.   __________ - sentita da un ispettore __________ - ha dichiarato che, citiamo: " … alzatami un mattino mi sono accorta che il gin. sin. era gonfio, caldo al tatto e mi doleva al punto da non poterlo caricare" ed ancora: " Apparentemente i disturbi al gin. sin. si sono manifestati nel mese di dicembre scorso senza un fatto particolare, … " (doc. _). Dalla descrizione dei fatti presentata dalla ricorrente, si deduce che il noto danno alla salute è sopravvenuto senza l'intervento di un fattore esterno ed improvviso. In effetti, l'assicurata ha riferito che, al momento di alzarsi dal letto, il suo ginocchio sinistro era già dolente, gonfio e caldo al tatto (cfr. doc. _). In questo senso, il TCA non può considerare quanto sostenuto dal dottor __________ in sede di referto operatorio 26 gennaio 2000 (cfr. doc. _: "Senza evento traumatico chiaro, ma improvvisamente rialzandosi da una posizione accovacciata, la paziente ha accusato, a metà dicembre '99, un dolore acuto del ginocchio sinistro accompagnato da versamento e bloccaggio" - la sottolineatura è del redattore), siccome questa versione non trova alcuna conferma nelle parole di __________ stessa. L'assicurata non è dunque stata in grado di segnalare alcun specifico episodio interessante il ginocchio sinistro. Ricordato ancora come l'assenza di prove vada a discapito di quella parte che pretende avere un diritto a prestazioni, l'Istituto assicuratore convenuto non può essere chiamato a prestare neppure a titolo di lesione parificata ai postumi di un infortunio. Concludendo, a mente del TCA, è a ragione che l'__________ ha rifiutato di corrispondere le prestazioni assicurative a __________ per i disturbi insorti nel corso del dicembre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