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35.2000.86 vom 13. November 2000</w:t>
      </w:r>
    </w:p>
    <w:p>
      <w:r>
        <w:t>TI Tribunale d'appello, 2000-11-13, IT</w:t>
      </w:r>
    </w:p>
    <w:p>
      <w:r>
        <w:rPr>
          <w:b/>
        </w:rPr>
        <w:t xml:space="preserve">Quelle: </w:t>
      </w:r>
      <w:r>
        <w:t>https://mcp.opencaselaw.ch/entscheid/ti_gerichte_35.2000.86</w:t>
      </w:r>
    </w:p>
    <w:p>
      <w:r>
        <w:t>FR: TI_GERICHTE 35.2000.86 du 13 novembre 2000</w:t>
      </w:r>
    </w:p>
    <w:p>
      <w:r>
        <w:t>IT: TI_GERICHTE 35.2000.86 del 13 novembre 2000</w:t>
      </w:r>
    </w:p>
    <w:p>
      <w:pPr>
        <w:pStyle w:val="Heading2"/>
      </w:pPr>
      <w:r>
        <w:t>Volltext</w:t>
      </w:r>
    </w:p>
    <w:p>
      <w:r>
        <w:t>Incarto n.35.2000.86</w:t>
      </w:r>
    </w:p>
    <w:p>
      <w:r>
        <w:t>mm</w:t>
      </w:r>
    </w:p>
    <w:p>
      <w:r>
        <w:t>Lugano</w:t>
      </w:r>
    </w:p>
    <w:p>
      <w:r>
        <w:t>In nomedella Repubblica e Cantonedel 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visto il ricorso del 1° dicembre 2000 interposto da</w:t>
      </w:r>
    </w:p>
    <w:p>
      <w:r>
        <w:t>____________,</w:t>
      </w:r>
    </w:p>
    <w:p>
      <w:r>
        <w:t>contro</w:t>
      </w:r>
    </w:p>
    <w:p>
      <w:r>
        <w:t>la decisione del 13 novembre 2000 emanata da</w:t>
      </w:r>
    </w:p>
    <w:p>
      <w:r>
        <w:t>____________,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richiamata la sentenza del Tribunale cantonale delle assicurazioni24 settembre 2001con cui il ricorso è statoaccoltoe l'incarto retrocesso all'assicuratore LAINF affinché ricalcolasse il guadagno annuo assicurato tenendo conto del rincaro, dell'evoluzione reale dei salari e della tredicesima mensilità. La __________ è inoltre stata condannata a versare all'assicurata l'importo di fr. 1'500.-- a titolo di ripetibili;</w:t>
      </w:r>
    </w:p>
    <w:p>
      <w:r>
        <w:t>preso atto che con sentenza dell'8 maggio 2003 il Tribunale federale delle assicurazioni ha parzialmente accolto il ricorso della __________ ed ha rinviato la causa a questo Tribunale affinché, tenuto conto dell'esito del processo in sede federale, statuisca nuovamente sulle spese ripetibili di prima istanza;</w:t>
      </w:r>
    </w:p>
    <w:p>
      <w:r>
        <w:t>rilevato che, contrariamente a quanto deciso da questa Corte, il TFA ha stabilito che nel calcolo del guadagno assicurato secondo l'art. 24 cpv. 2 OAINF,in casu, non va presa in considerazione la tredicesima mensilità (cfr. STFA dell'8.5.2003, consid. 4.1);</w:t>
      </w:r>
    </w:p>
    <w:p>
      <w:r>
        <w:t>considerato che, giusta l'art. 61 cpv. 1 lett. g LPGA (art. 108 cpv. 1 lett. g vLAINF), l'importo delle spese ripetibili è determinato in relazione alla fattispecie ed alla difficoltà del processo, senza tenere conto del valore litigioso (cfr., pure, art. 22 cpv. 2 LPTCA);</w:t>
      </w:r>
    </w:p>
    <w:p>
      <w:r>
        <w:t>tenuto conto dell'esito della lite in sede federale;</w:t>
      </w:r>
    </w:p>
    <w:p>
      <w:r>
        <w:t>viste le disposizioni della legge di procedura del 6 aprile 1961;</w:t>
      </w:r>
    </w:p>
    <w:p>
      <w:r>
        <w:t>decreta1.- La __________ verserà alla parte ricorrente l'importo di fr. 1'000.--a titolo di ripetibili;</w:t>
      </w:r>
    </w:p>
    <w:p>
      <w:r>
        <w:t>2.- non si percepiscono né tasse né spese;</w:t>
      </w:r>
    </w:p>
    <w:p>
      <w:r>
        <w:t>3.-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