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35.2000.65 vom 20. Juni 2000</w:t>
      </w:r>
    </w:p>
    <w:p>
      <w:r>
        <w:t>TI Tribunale d'appello, 2000-06-20, IT</w:t>
      </w:r>
    </w:p>
    <w:p>
      <w:r>
        <w:rPr>
          <w:b/>
        </w:rPr>
        <w:t xml:space="preserve">Quelle: </w:t>
      </w:r>
      <w:r>
        <w:t>https://mcp.opencaselaw.ch/entscheid/ti_gerichte_35.2000.65</w:t>
      </w:r>
    </w:p>
    <w:p>
      <w:r>
        <w:t>FR: TI_GERICHTE 35.2000.65 du 20 juin 2000</w:t>
      </w:r>
    </w:p>
    <w:p>
      <w:r>
        <w:t>IT: TI_GERICHTE 35.2000.65 del 20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cpv. 1 LAINF, per quanto non altrimenti previsto dalla legge, le prestazioni assicurative sono con­cesse in caso d'infortunio professionale, d'infortunio non professionale e di malattie professionali. 2.3.   Secondo l'art.</w:t>
      </w:r>
    </w:p>
    <w:p>
      <w:r>
        <w:rPr>
          <w:b/>
        </w:rPr>
        <w:t>E. 9</w:t>
      </w:r>
    </w:p>
    <w:p>
      <w:r>
        <w:t>cpv. 2 OAINF siano state causate da un evento esterno e repentino (ad esempio, un movimento violento oppure il fatto di rialzarsi improvvisamente dalla posizione accovacciata - cfr. DTF 116 V 148). In concreto, così come già indicato al considerando 2.7., l'assicurato non è stato in grado di segnalare alcun specifico episodio concernente il ginocchio destro, ragione per cui questo TCA è privato della possibilità stessa di valutare se la lesione corporale lamentata sia stata effettivamente provocata da un evento esterno e repentino. Ricordato ancora come l'assenza di prove vada a discapito di quella parte che pretende avere un diritto a prestazioni, l'Istituto assicuratore convenuto non può essere chiamato a prestare neppure a titolo di lesione parificata ai postumi di un infortunio. Concludendo, è a ragione che l'__________ ha rifiutato di corrispondere le prestazioni assicurative a __________.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