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35.2000.55 vom 29. Juni 2000</w:t>
      </w:r>
    </w:p>
    <w:p>
      <w:r>
        <w:t>TI Tribunale d'appello, 2000-06-29, IT</w:t>
      </w:r>
    </w:p>
    <w:p>
      <w:r>
        <w:rPr>
          <w:b/>
        </w:rPr>
        <w:t xml:space="preserve">Quelle: </w:t>
      </w:r>
      <w:r>
        <w:t>https://mcp.opencaselaw.ch/entscheid/ti_gerichte_35.2000.55</w:t>
      </w:r>
    </w:p>
    <w:p>
      <w:r>
        <w:t>FR: TI_GERICHTE 35.2000.55 du 29 juin 2000</w:t>
      </w:r>
    </w:p>
    <w:p>
      <w:r>
        <w:t>IT: TI_GERICHTE 35.2000.55 del 29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16.10.2000 35.2000.55 Tessin Tribunale cantonale delle assicurazioni 16.10.2000 35.2000.55 Ticino Tribunale cantonale delle assicurazioni 16.10.2000 35.2000.55</w:t>
      </w:r>
    </w:p>
    <w:p>
      <w:r>
        <w:t>Sentenza o decisione senza scheda</w:t>
      </w:r>
    </w:p>
    <w:p>
      <w:r>
        <w:t>RACCOMANDATA Incarto n. 35.2000.00055 grw /nh Lugano 16 ottobre 2000 In nome della Repubblica e Cantone del Ticino La vicepresidente del Tribunale cantonale delle assicurazioni Giudice Giovanna Roggero-Will visto il ricorso del 28 luglio 2000 interposto da __________ , contro la decisione del 29 giugno 2000 emanata da __________ , in materia di assicurazione contro gli infortuni ritenuto che,                -   con ricorso 28 luglio 2000 l'avv. __________ ha chiesto l'annullamento della decisione su opposizione emessa dall'__________ il 29 giugno 2000 e la condanna della Compagnia d'assicurazioni a corrispondergli tutte le prestazioni dovute in relazione all'infortunio del 4 agosto 1999 (I); -   con atto 17 agosto 2000 l'avv. __________ ha comunicato al TCA che "sono in corso delle trattative onde giungere ad un componimento bonale della vertenza" ed ha chiesto la sospensione della causa (III); -   la richiesta di sospensione è stata accolta (IV); -   il 2 ottobre 2000 l'avv. __________ ha comunicato che le parti hanno  raggiunto un accordo stragiudiziale e ha chiesto di stralciare la causa (V); Per questi motivi in applicazione degli art. 23 LPTCA, 352 cpv. 1 e 2 CPC, 58 cpv. 3 LPA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