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35.2000.40 vom 2. März 2000</w:t>
      </w:r>
    </w:p>
    <w:p>
      <w:r>
        <w:t>TI Tribunale d'appello, 2000-03-02, IT</w:t>
      </w:r>
    </w:p>
    <w:p>
      <w:r>
        <w:rPr>
          <w:b/>
        </w:rPr>
        <w:t xml:space="preserve">Quelle: </w:t>
      </w:r>
      <w:r>
        <w:t>https://mcp.opencaselaw.ch/entscheid/ti_gerichte_35.2000.40</w:t>
      </w:r>
    </w:p>
    <w:p>
      <w:r>
        <w:t>FR: TI_GERICHTE 35.2000.40 du 2 mars 2000</w:t>
      </w:r>
    </w:p>
    <w:p>
      <w:r>
        <w:t>IT: TI_GERICHTE 35.2000.40 del 2 marzo 2000</w:t>
      </w:r>
    </w:p>
    <w:p>
      <w:pPr>
        <w:pStyle w:val="Heading2"/>
      </w:pPr>
      <w:r>
        <w:t>Regeste</w:t>
      </w:r>
    </w:p>
    <w:p>
      <w:r>
        <w:t>Sentenza o decisione senza scheda</w:t>
      </w:r>
    </w:p>
    <w:p>
      <w:pPr>
        <w:pStyle w:val="Heading2"/>
      </w:pPr>
      <w:r>
        <w:t>Erwägungen</w:t>
      </w:r>
    </w:p>
    <w:p>
      <w:r>
        <w:rPr>
          <w:b/>
        </w:rPr>
        <w:t>E. 24</w:t>
      </w:r>
    </w:p>
    <w:p>
      <w:r>
        <w:t>luglio 2000 - l'Alta Corte si è in particolare così espressa riguardo alle conclusioni del suo esame: " 3.- (…)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prolato , di recente, alcune sentenze in materia d'assicurazione contro gli infortuni. Si tratta di fattispeci in cui questo TCA aveva proceduto a quantificare il reddito da invalido in applicazione della suesposta prassi, a discapito della valutazione operata dall'_____ sulla base dei dati risultanti dalla documentazione sui posti di lavoro (DPL). La prima di queste pronunzie è stata emanata nella causa INSAI c/ M. L. (U181/98) e reca la data del 22 maggio 2001. Essa è stata successivamente confermata con i seguenti giudizi: STFA 31.5.2001 in re INSAI c/ S. M. (U286/98), 31.5.2001 in re INSAI c/ T. M. (U275/98), 31.5.2001 in re INSAI c/ U. M. (U279/98), 11.6.2001 in re INSAI c/ S. M. (U17/99), 11.6.2001 in re INSAI c/ R. S. (U285/98), 19.6.2001 in re INSAI c/ J. M. P. (U 271/98), 21.6.2001 in re M. R. c/ INSAI (U349/98), 27.6.2001 in re INSAI c/ M. B. (U362/98), 28.6.2001 in re INSAI c/ M. C.-D. C. (U18/99), 2.7.2001 in re INSAI c/ D. F. (U4/99) e, infine, 9.7.2001 in re INSAI c/ A. M. (U142/99). Sostanzialmente, il TFA ha approvato i dati salariali utilizzati dall'INSAI, dopo aver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 (STFA 22.5.2001 in re M.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2.2.5. Nel caso di specie, __________ è inattivo ormai da parecchi anni. Va da sé, pertanto, che non è affatto possibile fondarsi sulla situazione salariale concreta. In ossequio alla più recente giurisprudenza federale, occorre, dunque, basarsi sui dati statistici e, concretamente, sull'inchiesta svizzera sulla struttura dei salari 1998 (l'ultima edizione disponibile), edita dall'Ufficio federale di statistica. Secondo questo studio, un uomo, esercitando nel 1998 un'attività semplice e ripetitiva in Svizzera, avrebbe potuto realizzare, mediamente, un salario mensile lordo pari a fr. 4'268.-- (considerando soltanto il settore privato, visto che __________ non ha evidentemente accesso a quello pubblico), quindi, riportandolo su 41.9 ore (cfr., per quest'ultimo aspetto, DTF 126 V 81 consid. 7a), fr. 4'470.--. Per il 1999 - dopo adeguamento all'indice dei salari nominali (" Nominallohnindex " - cfr. DTF 126 V 81 consid. 7a e STCA 20.2.2001 in re G. R.) - si raggiunge un reddito mensile di fr. 4'477.-- oppure di fr. 53'724.-- per l'intero anno (fr. 4'477.-- x 12, ritenuto che la quota di tredicesima è già compresa, cfr. STFA 18.2.1999 in re G. B. c/ INSAI, p. 5 consid. 3a ). L'importo stabilito dall'Istituto assicuratore convenuto (fr. 40'000.--) appare plausibile alla luce dei dati statistici sulla struttura dei salari, quando si consideri come, ai sensi della giurisprudenza di cui alla DTF 126 V 75, le specifiche circostanze del caso concreto siano suscettibili di comportare una riduzione del salario statistico fino - realizzate tutte le premesse - al limite massimo del 25% (il 75% di fr. 53'724.-- corrisponde a fr. 40'293.--). 2.2.6.   Va ancora rilevato che nelle pronunzie citate al considerando 2.2.4., il TFA ha proceduto a quantificare il reddito da invalido partendo dal salario mediamente percepito, a livello nazionale, da un uomo, rispettivamente da una donna, esercitanti attività semplici e ripetitive nel settore privato (TA1). A questo preciso proposito, lo scrivente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con una sentenza del 4 settembre 2000 nella causa N. R., pubblicata in RDAT I-2001, p. 250ss. - successivamente confermata in più di un'occasione (cfr., ad esempio, STCA 17.4.2001 in re F. B. c/ INSAI e 22.5.2001 in re T. M. c/ SWICA Assicurazioni SA) - sentito preliminarmente il parere del direttore dell'Ufficio federale di statistica, dottor ___________ ,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Vbis) Il dottor ___________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 (STCA succitata - la sottolineatura è del redattore). Nel caso sub judice - per le medesime ragioni diffusamente indicate nella STCA 4 settembre 2000 in re N. R. - a questa Corte parrebbe più coerente determinare il reddito ancora esigibile malgrado il danno alla salute, utilizzando i valori specifici per il Cantone Ticino. Ora, applicando i dati salariali che risultano dalla tabella TA14, il reddito annuo realizzabile da __________ in occupazioni semplici e ripetitive nel settore privato ticinese ammontava, nel 1999, a fr. 45'462.-- (fr. 3'611.-- : 40 x 41.9 + fr. 6.-- d'adeguamento all'indice dei salari nominali x 12), importo che - analogamente a quello che è stato dedotto dalla tabella TA1 (cfr. consid. 2.2.5.) - dimostra, tenuto sempre conto del fatto che il salario statistico è suscettibile d'essere ridotto a seconda delle circostanze del caso concreto, l'attendibilità del reddito di fr. 40'000.-- considerato dall'Istituto assicuratore convenuto (riduzione del reddito di fr. 45'468.-- leggermente superiore al 10%). 2.2.7.   In esito ai considerandi che precedono, il grado d’invalidità di __________ - determinato confrontando i fr. 40’000.-- al reddito che egli avrebbe potuto conseguire se non fosse intervenuto l’infortunio, e cioè fr. 51'000.-- (cfr. doc. _), dato quest'ultimo non contestato dal ricorrente - risulta effettivamente essere del 20%. Se ne deduce, pertanto, che l'impugnata decisione su opposizione dell'__________ non presta il fianco a censure di sorta. 2.3. Indennità per menomazione dell'integrità 2.3.1.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2.3.2.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pag.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(LAA), Losanna 1992, pag. 121). 2.3.3.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2.3.4.   L'__________ ha allestito una serie di tabelle, dalla griglia molto più serrata, che integrano quella dell'ordinanza. Semplici direttive di natura amministrativa, esse non hanno valore di legge e non vincolano il giudice (cfr. DTFA 7.12.1988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2.3.5.   In concreto, l'assicuratore LAINF convenuto ha assegnato all'assicurato un'indennità per menomazione dell'integrità del 25%, facendo riferimento, in primo luogo, all'apprezzamento enunciato dal medico di circondario, il dottor __________, spec. FMH in chirurgia, in occasione della visita medica di chiusura 27 maggio 1999: " REFERTO L'assicurato è portatore dei seguenti postumi infortunistici importanti e durevoli: stato dopo frattura tibiale e peronea esposta di III° grado a sinistra, trattate cruentemente a varie riprese, con il risultato di un'artrodesi tibio-tarsica, sotto-astragalica ed astragalica-navicolare. Un difetto osteocutaneo tibiale fu sistemato con un trapianto osteocutaneo peduncolato (prelevamento sulla cresta iliaca a sinistra). La frattura risulta ben consolidata, il lembo cutaneo ben vitale. Il complesso cicatriziale non è caratterizzato da nessuna instabilità. Un accorciamento complessivo di 1.5 cm della gamba sinistra è conseguenza dell'infortunio del 1996. L'assicurato, probabilmente in modo duraturo, avrà bisogno della calzatura adatta, non necessariamente invece dell'ortesi e della calza elastica. VALUTAZIONE 25%. GIUSTIFICAZIONE Tabella 5.2 e 2.3 del Volume Indennità alla menomazione dell'integrità della __________, edizione 1990: stato dopo resezione dell'articolazione tibio-tarsica e sotto-astragalica, rispettivamente una loro artrodesi, danno diritto al 20%. Un tale procedere operatorio automaticamente contiene anche il danno fisico causato da un relativo raccorciamento, il quale nel caso concreto non supera 1.5 cm (ci vuole un raccorciamento di 2 cm per un ulteriore tasso d'IMI del 5%). Visto comunque la particolare configurazione delle parti molli e l'ipestesia, è giustificato un aumento nella misura del 5%. Effettivamente la menomazione complessiva di cui è portatore l'assicurato, non supera il danno fisico causato da un'amputazione subtotale del piede, rispettivamente un moncone residuale dopo un procedere secondo Pirogoff o Spitz (25%, tabula 9 della tabella 4.3). Totale: 20% + 5% = 25% " (doc. _). Nell'ambito della procedura d'opposizione, __________ ha postulato l'assegnazione di una IMI del 40% (cfr. doc. _). Egli ha fondato la propria pretesa sulla perizia di parte allestita, in data 6 agosto 1999, dal dottor __________, spec. FMH in chirurgia. In effetti, il poc'anzi menzionato sanitario ha valutato nel 40% la menomazione all'integrità di cui è portatore l'assicurato: " … Integritätsschaden Die Tabelle 2 der __________ zu den Integritätsschäden gemäss UVG führt die Funktionsstörungen der unteren Extremität folgendes an: "oberes Sprunggelenk steif in leichtem Spitzfuss                   20%" "subtalare Arthrodese                                                   15%" Diese beiden Tatbestände liegen bei Herrn _______ unbestreitbar vor. Dazu kommt die schmerzhafte Versteifung der übrigen Mittelfussknochen, die leichte Varusdeformität des Fusses und die Beinverkürzung von 2 cm. Die Summe dieser Störungen ergibt m.E. einen Integritätsschaden von 40% . … Bemerkungen Der Vergleich mit einer Amputation nach Pirogoff und Bewertung nach Tabelle 4 ist unverständlich, da der Versicherte kein Glied verloren hat resp. nicht amputiert worden ist, sondern an den Folgen einer schmerzhaften Versteifung leidet. Die Integritätsschaden nach Versteifungen sind in der Tab . 2 klar und eindeutig aufgelistet " (doc. _). Prima di emanare l'impugnata decisione su opposizione, l'assicuratore LAINF ha interpellato la propria Divisione medica di __________ e specificatamente il dottor __________, spec. FMH in chirurgia ortopedica, al quale si è provveduto a sottoporre il rapporto 6 agosto 1999 del dottor __________. Queste le considerazioni espresse dal dottor __________ a proposito dell'entità della menomazione dell'integrità: Im Vordergrund steht die Frage nach der Höhe der Integritätsentschädigung. Diese Frage lässt sich anhand von Akten alleine besser und zuverlässiger beurteilen, da abstrakt und egalitär und nicht anhand einer Zumutbarkeit entschieden wird. Dr. __________ ha dafür 25% geschätzt und dies ausführlich begründet. Im wesentlichen hat er sich an der Athrodese von oberem und unterem Sprunggelenk orientiert, wofür laut Tabelle 5, Integritätsschaden bei Arthrosen, publiziert von den Ärzten der ____, 20% vorgeschlagen werden. Dass darin zwangsläufig eine gewisse Verkürzung des Unterschenkels inbegriffen ist, ist klar und schlüssig dargelegt worden; das ist korrekt. Für die für das Übliche nach einer Arthrodese hinausgehenden Weichteilprobleme wurden weitere 5% geschätzt. Die Transplantatentnahmeorte sind offenbar nicht als entschädigungsberechtigt eingestuft worden, d.h. ausser vielleicht etwas unschöner Narbenbildung (vgl. Foto vom 6.10.1998) finden sich keine erheblichen oder gar augenfälligen Störungen. Dr. ________ hat zudem einen Quervergleich zu einer subtotalen Fussamputation angestellt (Tabelle 4 Bild Nr. 9, Amputation nach Pirogoff). Quervergleiche sind immer dann angebracht, wenn mehrere Einzelschäden zu addieren sind, insbesondere wenn sie das gleiche Organ betreffen. Dies wird sofort klar, wenn man z.B. sämtliche Werte, welche für Arthrosen im Fussbereich vorgegeben sind (vgl. Tabelle 5), addieren würde: die 100%-Grenze würde problemlos erreicht. Dr. ______ hat nun gerade dieses Vorgehen gewählt, indem er mehrere einzelne Schäden addiert hat und somit auf eine Summe von 40% gelangt ist. Selbstverständlich hat er zu recht eingeräumt, dass es sich nicht um eine Amputation handle, sondern dass der Fuss noch vorhanden sei, was einen Vergleich verunmögliche. Diesen Standpunkt erachten wir Ärzte der ______ indessen als falsch. Das vollständige fehlen (allenfalls der vollständige Funktionsverlust) einer Gliedmasse oder eines Teiles der Gliedmasse ist in aller Regel als oberer Grenzwert für Schäden im "amputierten" Bereich anzusehen. Nun unter ganz speziellen Voraussetzungen - wenn überhaupt - sollte eine Schätzung für eine nicht vollständige Funktionseinbusse dem vollständigen Funktionsverlust oder der Amputation gleichgesetzt werden. Insofern kann eine Schätzung von 40%, welche laut UVG Art. 36 Abs. 2 Anhang 3 dem Verlust eines Beines im Kniegelenk entsprechen würden nicht stimmen; auch 30% wären zu hoch, da diese dem Verlust des Fusses entsprechen würden. Noch ein Letztes: Mit hohem Aufwand und hoher Sachkunde ist es nicht nur gelungen den Fuss zu erhalten, sondern auch ein für die meisten alltäglichen Verrichtungen belastbares Bein zu schaffen. Es wäre nun sehr unbefriedigend, wenn bezüglich Integritätsentschädigung kein Unterschied gemacht würde, ob schliesslich der Fuss verloren geht oder nicht; Es wäre vielleicht sogar letztlich schwierig zu begründen, wieso die Versicherung für derart aufwendige Behandlungen bezahlen soll wenn ohnehin kein Gewinn (d.h. gleiche oder sogar höhere Integritätsminderung), sondern sogar nur ein Verlust, erreicht werden kann " (doc. _). Da parte sua, lo scrivente TCA è dell'avviso che il grado di menomazione dell'integrità proposto dal dottor __________ appaia come inadeguato, e ciò alla luce di menomazioni comparabili secondo la tabella di cui all'Allegato 3 all'OAINF (e secondo le tabelle INSAI). Va ricordato, al proposito, che a norma della cifra 1 dell'Allegato 3 all'OAINF, per le menomazioni speciali dell'integrità o non indicate di seguito, l'indennità verrà calcolata secondo il valore della tabella in funzione della gravità della menomazione. Ciò vale anche quando l'assicurato ha subito più menomazioni dell'integrità fisica e mentale (cfr. A. Maurer, Schweizerisches Unfallversicherungsrecht, Berna 1985, p. 417s. e Th. Frei, Die Integritätsentschädigung nach Art. 24 und 25 des Bundesgesetzes über die Unfallversicherung, Tesi Friborgo 1998, p. 44ss.). Così come pertinentemente osservato dal dottor __________ della Divisione medica dell'__________ (cfr. doc. _), una IMI del 40% viene riconosciuta, ad esempio, in caso di perdita di una gamba all'altezza del ginocchio (cfr. tabella delle menomazioni dell'integrità prevista dall'Allegato 3 all'OAINF). Ora, non può essere seriamente contestato che il danno di cui __________ è portatore alla gamba sinistra, è parecchio meno importante rispetto all'amputazione di una gamba all'altezza del ginocchio. In casu , quindi, la semplice addizione delle singole menomazioni conduce ad un risultato manifestamente insoddisfacente, peraltro contrario al principio della parità di trattamento degli assicurati. Ne discende che il referto allestito dal dottor __________ non adempie i requisiti posti dalla giurisprudenza per conferire ad un attestato medico valore probatorio (cfr. DTF 125 V 352 consid. 3a; VSI 2001 pag. 108 consid. 3a). Tutto ben considerato, quindi, questa Corte ritiene che i rapporti allestiti dai medici di fiducia dell'__________ - che rispettano manifestamente le condizioni poste dal TFA in RAMI 1996 U252, p. 191ss. - possano validamente costituire da supporto probatorio al giudizio che ora la occupa.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dalla valutazione enunciata dagli specialisti consultati dall'assicuratore convenuto,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 Determinante dal profilo probatorio non é, dunque, di principio, l'origine del mezzo di prova o la sua designazione quale rapporto o perizia, bensì il suo contenuto (DTF 122 V 160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