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 vom 21. September 1999</w:t>
      </w:r>
    </w:p>
    <w:p>
      <w:r>
        <w:t>TI Tribunale d'appello, 1999-09-21, IT</w:t>
      </w:r>
    </w:p>
    <w:p>
      <w:r>
        <w:rPr>
          <w:b/>
        </w:rPr>
        <w:t xml:space="preserve">Quelle: </w:t>
      </w:r>
      <w:r>
        <w:t>https://mcp.opencaselaw.ch/entscheid/ti_gerichte_35.2000.2</w:t>
      </w:r>
    </w:p>
    <w:p>
      <w:r>
        <w:t>FR: TI_GERICHTE 35.2000.2 du 21 septembre 1999</w:t>
      </w:r>
    </w:p>
    <w:p>
      <w:r>
        <w:t>IT: TI_GERICHTE 35.2000.2 del 21 settembre 1999</w:t>
      </w:r>
    </w:p>
    <w:p>
      <w:pPr>
        <w:pStyle w:val="Heading2"/>
      </w:pPr>
      <w:r>
        <w:t>Regeste</w:t>
      </w:r>
    </w:p>
    <w:p>
      <w:r>
        <w:t>Sentenza o decisione senza scheda</w:t>
      </w:r>
    </w:p>
    <w:p>
      <w:pPr>
        <w:pStyle w:val="Heading2"/>
      </w:pPr>
      <w:r>
        <w:t>Erwägungen</w:t>
      </w:r>
    </w:p>
    <w:p>
      <w:r>
        <w:rPr>
          <w:b/>
        </w:rPr>
        <w:t>E. 36</w:t>
      </w:r>
    </w:p>
    <w:p>
      <w:r>
        <w:t>cpv. 3 1a frase OAINF). Si terrà adeguatamente conto di un aggravamento prevedibile della menomazione dell'integrità. È esclusa la revisione. 2.3.4.   L'__________ ha allestito una serie di tabelle, dalla griglia molto più serrata, che integrano quella dell'ordinanza. Semplici direttive di natura amministrativa, esse non hanno valore di legge e non vincolano il giudice (cfr. DTFA 7.12.1988 in re A. P.; RAMI 1989 U71, pag. 221ss.). Tuttavia, nella misura in cui esprimono unicamente valori indicativi, miranti a garantire la parità di trattamento di tutti gli assicurati, esse sono compatibili con l'annesso 3 all'OAINF (RAMI 1987 U21, pag. 329; DTF 113 V 219, consid. 2b; DTF 116 V 157, consid. 3a). 2.4.   Nel caso di specie, __________, a seguito dell'evento infortunistico 26 novembre 1995, è stato visitato, in data 30 ottobre 1998, dal medico di circondario dell'__________, il dottor __________, spec. FMH in chirurgia ortopedica (doc. _). All'occasione, il succitato specialista ha, fra l'altro, espresso il proprio apprezzamento riguardo all'entità della menomazione all'integrità presentata dal qui insorgente: " REPERTO Sindrome algica sotto sforzo, moderata ipotrofia muscolare all'emicinto scapolare destro, diminuzione della forza, rispettivamente della resistenza allo sforzo con lieve diminuzione funzionale terminale al di sopra dell'orizzontale spalla destra. VALUTAZIONE 5% GIUSTIFICAZIONE Vedi tabella 1, estratto LAINF, edizione INSAI 1990: quadro clinico complessivo paragonabile tutt'al più ad una periatropatia di lieve ad iniziale media entità " (doc. _). In sede d'opposizione, mediante la quale il qui ricorrente ha preteso la corresponsione di un'IMI del 10%, è stato prodotto un certificato, datato 13 luglio 1999, del dottor __________, suo medico curante. Questo il contenuto: " … mi riferisco al vostro scritto dell'8.7.99 e vi comunico il mio parere inviandovi copia del mio rapporto dell'8.3.99, dove ho già ritenuto che secondo me la percentuale del 5% era troppo bassa. Devo però ammettere che non so quali sono le percentuali di menomazione dell'integrità. Bisognerebbe discutere con il medico della __________ che ha stabilito la percentuale secondo il suo regolamento. Periartropatia è da ritenere di media entità" (doc. _). Così come già emerge dalla suesposta certificazione, in precedenza, per la precisione in data 8 marzo 1999, il dottor __________ aveva già avuto modo di manifestare - in termini, invero, non propriamente chiari - la propria opinione riguardo all'entità della menomazione di cui __________ è portatore: " Il paz. viene perché è stata stabilita la __________ con la rendita del 5%, ciò che il paz. contesta. In effetti, trattasi di un'infiammazione del capo lungo del bicipite, un'infiammazione dell'articolazione AC. Diagnosi che avrebbe di conseguenza un trattamento artroscopico proposto dalla Clinica __________, cioè fissazione del capo lungo del bicipite e resezione AC, ciò che il paz. attualmente rifiuta. A mio avviso sembra che non dovrebbe essere non 5 ma ca. il 10%. Ho detto al paz. di fare ricorso" (doc. _). Prima d'emanare l'impugnata decisione su opposizione, l'Istituto assicuratore ha ancora interpellato la propria Divisione medica di __________, specificatamente, il dottor __________, spec. FMH per chirurgia, il quale ha sposato appieno l'apprezzamento espresso, in occasione della visita medica di chiusura, dal dottor __________: " Der von der Klinik __________ vorgeschlagene arthroskopische Eingriff mit Refixation des Bicepsankers und Resektion des AC-Gelenkes rechts kann in regionärer Anästhesie durchgeführt werden und ist in den Händen eines erfahrenen Schulterspezialisten weder mit Lebensgefahr noch mit nennenswerten Komplkationen verbunden. Zudem dürfte dadurch die Schmerzsymptomatik des Patienten mit Wahrscheinlichkeit erheblich gebessert oder gar behoben werden. Eine gewisse Behinderung, vor allem für das Tragen von schweren Lasten auf der rechten Schulter, wie z.B. Balken, etc., dürfte jedoch persistieren. Nach dem durchgeführten Eingriff würde der resultierende Integritätsschaden, wie jetzt vom Kreisarzt geschätzt, 5% betragen. Dies ist nämlich der wert, wie er in Tabelle 5.2 der publikation "Integritätsentschädigung gemäss UVG" für einen St. n. Ac-Gelenksresektion ausgewiesen wird. Laut Tabelle 1.2 ist für eine leichte PHS keine Integritätsentschädigung geschuldet, für eine mässige PHS eine solche von 10%. Die kreisärztliche Schätzung des Integritätsschadens für die rechtsseitigen Schulterbeschwerden von Herrn __________ mit 5%, in Analogie zu einer leichten bis beginnenden mässigen PHS, ist aufgrund der tabelle korrekt, aber auch unter Berücksichtigung des Integritätsschadens, der nach dem von der Universitätsklinik vorgeschlagenen zumutbaren Eingriff resultieren würde" (doc. _). 2.5.   Con il proprio gravame, __________ ha, dunque, preteso l'assegnazione di un'IMI del 10%, fondandosi precisamente sull'opinione manifestata dal dottor __________ in data 8 marzo, rispettivamente, 13 luglio 1999. Il TCA ritiene, da parte sua, di poter far proprio il parere espresso dal dottor __________ - parere esplicitamente avallato dal dottor __________ - il quale ha valutato nel 5% la menomazione all'integrità fisica di cui il ricorrente è portatore.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(RCC 1986 p. 202 consid. 2d; sentenza TFA del 27 ottobre 1992 in re A.B.P.; sentenza TFA del 13 febbraio 1992 in re M. O.; sentenza TFA del 13 maggio 1991 in re A.A.; sentenza TCA del 25 novembre 1991 in re G.M.;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Questa Corte, chiamata a pronunciarsi su una questione sostanzialmente di carattere medico, non ha, in concreto, motivi di scostarsi dalle conclusioni dello specialista in chirurgia ortopedica consultato dall’INSAI,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DTF 104 V 209; sentenze inedite 5 gennaio 1993 in re S., 5 aprile 1984 in re M. e 2 novembre 1983 in re M.; U. Meyer-Blaser, Die Rechtspflege in der Sozialversicherung, BJM 1989 pag. 30 seg.).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(cfr., pure, RAMI 1999 U356, p. 572).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(RAMI 1991 pag. 311 consid. 1; RAMI 1996 pag. 191ss.; DTF 122 V 160ss. consid. 1c e riferimenti; STFA 29.9.1998 in re UAI c. F. non pubbl.). Determinante dal profilo probatorio non é, dunque, di principio, l'origine del mezzo di prova o la sua designazione quale rapporto o perizia, bensì il suo contenuto (DTF 122 V 160 in fine). Vero è che il medico curante dall'assicurato ha espresso un apprezzamento leggermente diverso rispetto a quello del dottor __________ (e del dottor __________). Le certificazioni del dottor __________ non appaiono, comunque, suscettibili d'infirmare la valutazione espressa dal medico di circondario dell'__________. In primo luogo, esaminato il referto 8 marzo 1999 (doc. _), ci si rende immediatamente conto che il suddetto specialista confonde l'IMI con la rendita d'invalidità. In secondo luogo, egli ha sì quantificato nel 10% la menomazione dell'integrità accusata dal suo paziente, ammettendo, tuttavia, espressamente di non conoscere "… quali sono le percentuali di menomazione dell'integrità" e ritenendo, quindi, indicato "… discutere direttamente con il medico della __________ che ha stabilito la percentuale secondo il suo regolamento" (cfr. doc. _). Va da sé che all'apprezzamento del curante non può venir riconosciuto quel valore probante indispensabile per vagliare, con cognizione di causa, il caso sub judice, ignorando egli le basi stesse su cui la menomazione dell'integrità viene valutata. Del resto, che il dottor __________ non fosse neppure lui stesso molto in chiaro sulla questione, lo dimostra il fatto che ha addirittura suggerito al patrocinatore di __________ di rivolgersi al dottor __________, a conoscenza, lui, delle Tabelle edite dalla Divisione medica dell'__________. Concludendo, la querelata decisione emanata dall'assicuratore LAINF convenuto non presta il fianco ad alcuna censura ed è, pertanto, meritevole di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