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35.1999.4 vom 21. Oktober 1998</w:t>
      </w:r>
    </w:p>
    <w:p>
      <w:r>
        <w:t>TI Tribunale d'appello, 1998-10-21, IT</w:t>
      </w:r>
    </w:p>
    <w:p>
      <w:r>
        <w:rPr>
          <w:b/>
        </w:rPr>
        <w:t xml:space="preserve">Quelle: </w:t>
      </w:r>
      <w:r>
        <w:t>https://mcp.opencaselaw.ch/entscheid/ti_gerichte_35.1999.4</w:t>
      </w:r>
    </w:p>
    <w:p>
      <w:r>
        <w:t>FR: TI_GERICHTE 35.1999.4 du 21 octobre 1998</w:t>
      </w:r>
    </w:p>
    <w:p>
      <w:r>
        <w:t>IT: TI_GERICHTE 35.1999.4 del 21 ottobre 1998</w:t>
      </w:r>
    </w:p>
    <w:p>
      <w:pPr>
        <w:pStyle w:val="Heading2"/>
      </w:pPr>
      <w:r>
        <w:t>Regeste</w:t>
      </w:r>
    </w:p>
    <w:p>
      <w:r>
        <w:t>Sentenza o decisione senza scheda</w:t>
      </w:r>
    </w:p>
    <w:p>
      <w:pPr>
        <w:pStyle w:val="Heading2"/>
      </w:pPr>
      <w:r>
        <w:t>Erwägungen</w:t>
      </w:r>
    </w:p>
    <w:p>
      <w:r>
        <w:rPr>
          <w:b/>
        </w:rPr>
        <w:t>E. 19</w:t>
      </w:r>
    </w:p>
    <w:p>
      <w:r>
        <w:t>dicembre 1997 del suo medico di __________, il dottor __________: " ... 1. Referto Postumi infortunistici: artrosi radio/ulno-carpale con marcata limitazone funzionale pluridirezionale (flessione, estensione, duzione radiale e ulnare, pro- e supinazione). Occlusione incompleta del pugno con le dita lunghe. 2. Valutazione 20%. 3. Giustificazione Artrodesi radio-carpale 15%, vedi tabella 5, estratto LAINF edizione __________ 1990. 5% supplementare a causa della occlusione incompleta del pungo. Tenuto conto del fatto che il deficit funzionale in pro/supinazione sia suscettibile di migliorare nell'ambito di un intervento di artrodesi del polso tramite resezione od osteotomia della testa ulnare, il quadro clinico complessivo può venir considerato migliore rispetto a un polso bloccato in estensione senza possibilità di pro/supinazione (25% secondo tabella 1, estratto LAINF edizione __________ 1990)." (doc. __________) 2.4.2.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2.4.3.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(DTF 113 V 218 consid. 4; RAMI 1987 pag. 438). La parte della riparazione del torto morale contemplata dagli artt. 24ss. LAINF è, dunque, soltanto parziale: gli aspetti soggettivi del danno (segnatamente il pretium doloris e il pregiudizio estetico) ne sono esclusi (cfr. Ghélew, Ramelet, Ritter, op. cit., pag. 121). 2.4.4.   Giusta l'art. 36 cpv. 2 OAINF, l'indennità è calcolata in base alle direttive contenute nel­l'Allegato 3 dell'OAINF. Una tabella elenca una serie di le­sioni indicando per cia­scuna il tasso normale di indenni­z­zazione, corrispondente ad una percentuale dell'ammontare massimo del guadagno assicu­rato. Questa tabella - riconosciuta conforme alla legge - non costituisce un elenco esaustivo (DTF 113 V 219 consid. 2a; RAMI 1988 U48 pag.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terrà adeguatamente conto di un aggravamento prevedibile della menomazione dell'integrità. È esclusa la revisione. 2.4.5.   L`_____ ha allestito una serie di tabelle, dalla griglia molto più serrata, che integrano quella dell'ordinanza. Semplici direttive di natura amministrativa, esse non hanno valore di legge e non vincolano il giudice (cfr. STFA 7.12.1988 in re A. P.; RAMI 1989, U71, pag. 221ss.). Tuttavia, nella misura in cui esprimono unicamente valori indicativi, miranti a garantire la parità di trattamento di tutti gli assicurati, esse sono compatibili con l'annesso 3 all'OAINF (RAMI 1987, U21, pag. 329; DTF 113 V 219, consid. 2b; DTF 116 V 157, consid. 3a). 2.4.6.   Ritornando al caso di specie, l’esperto designato dal TCA, il dottor __________, ha avuto modo d’esprimere il proprio parere anche riguardo alla menomazione dell’integrità lamentata dal ricorrente a dipendenza dell’infortunio assicurato: " Basandosi sulla tabella n° 5 fissando i tassi di indennità per menomazione dell’integrità in caso di artrosi, si può stabilire che l’artrosi grave del polso attribuisce un tasso dal 10% al 25%. In caso di artrodesi del polso il tasso é fissato dal 10% al 15%. In questo caso l’artrosi del polso dx del signor __________ é da considerare grave. Perciò condivido la valutazione dell’indennità per menomazione dell’integrità del 20%” (X - risposta al quesito peritale n. 4). Questa Corte non vede motivi che gli impediscano di fare propria la valutazione manifestata dal dottor __________ - identica a quella espressa, a suo tempo, dal medico di circondario dell’__________ - tanto più che il ricorrente ha sì postulato d’essere posto al beneficio di un’IMI d’entità maggiore, senza però riuscire a minimamente sostanziare tale sua pretesa da un profilo medico-scientifico.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