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34.2023.8 vom 4. September 2023</w:t>
      </w:r>
    </w:p>
    <w:p>
      <w:r>
        <w:t>TI Tribunale d'appello, 2023-09-04, IT</w:t>
      </w:r>
    </w:p>
    <w:p>
      <w:r>
        <w:rPr>
          <w:b/>
        </w:rPr>
        <w:t xml:space="preserve">Quelle: </w:t>
      </w:r>
      <w:r>
        <w:t>https://mcp.opencaselaw.ch/entscheid/ti_gerichte_34.2023.8</w:t>
      </w:r>
    </w:p>
    <w:p>
      <w:r>
        <w:t>FR: TI_GERICHTE 34.2023.8 du 4 septembre 2023</w:t>
      </w:r>
    </w:p>
    <w:p>
      <w:r>
        <w:t>IT: TI_GERICHTE 34.2023.8 del 4 settembre 2023</w:t>
      </w:r>
    </w:p>
    <w:p>
      <w:pPr>
        <w:pStyle w:val="Heading2"/>
      </w:pPr>
      <w:r>
        <w:t>Erwägungen</w:t>
      </w:r>
    </w:p>
    <w:p>
      <w:r>
        <w:rPr>
          <w:b/>
        </w:rPr>
        <w:t>E. 4</w:t>
      </w:r>
    </w:p>
    <w:p>
      <w:r>
        <w:t>(cfr. XXVI-1), da cui risulta essere uscito in data 30 novembre 2022 (cfr. XXVI).</w:t>
      </w:r>
    </w:p>
    <w:p>
      <w:r>
        <w:t>In data 20 settembre 2022 egli disponeva pure di un avere previdenziale divisibile di fr. 88.70 presso la CV 3 (cfr. XXV) cui era stato assicurato in precedenti diversi periodi  tra cui quello compreso tra il 29 luglio e il 23 dicembre 2013 con versamento dellavere acquisito alla CV 2 (cfr. XXV, cfr. infra)  e dove a far tempo da marzo 2023 risulta essere nuovamente assicurato quale dipendente della __________ (contratto __________; cfr. XXV).</w:t>
      </w:r>
    </w:p>
    <w:p>
      <w:r>
        <w:t>Alla data del riparto CV 1 disponeva anche di un avere divisibile di fr. 13'903.38 su un conto di libero passaggio della CV 2 (cfr. VII), dove risultano essere confluiti gli averi previdenziali precedentemente accumulati, segnatamente presso la __________ (fr. 7'025.65), la già menzionata CV 3 (fr. 841.80), l__________ (cfr. 2'348.80) e il __________ (fr. 3'505.85) (cfr. VII-1).</w:t>
      </w:r>
    </w:p>
    <w:p>
      <w:r>
        <w:t>Per il che, lavere complessivo accumulato da CV 1 durante il matrimonio e soggetto a divisione va cifrato in fr. 19'605.63 (5'613.55 + 88.70 + 13'903.38).</w:t>
      </w:r>
    </w:p>
    <w:p>
      <w:r>
        <w:t>2.4.2  Dalla documentazione in atti risulta che alla data del matrimonio AT 1 disponeva di un avere di fr. 1'723.50 presso la AT 2 dove è assicurata da febbraio 2008 (cfr. XIV-2). Presso il medesimo istituto, alla data determinante per il riparto ella disponeva invece di una prestazione duscita divisibile di fr. 58'732.90 (cfr. XIV-2).</w:t>
      </w:r>
    </w:p>
    <w:p>
      <w:r>
        <w:t>Considerati ex art. 22a cpv. 1 seconda frase LFLP (cfr. supra consid. 2.3) gli interessi maturati sullavere presente alla data del matrimonio sino al momento determinate per il riparto in ragione di fr. 378.03  calcolatiapplicando il tasso minimo stabilito dal Consiglio federale (art. 8a cpv. 1 OLP e art. 12 OPP2;per il calcolo cfr. www.gerichte.ch)  lavere soggetto a divisione accumulato da AT 1 deve essere cifrato in fr. 56'631.37 (58'732.90 - 1'723.50 - 378.03).</w:t>
      </w:r>
    </w:p>
    <w:p>
      <w:r>
        <w:t>2.4.3Stante quanto precede, richiamata la chiave di ripartizione stabilita dal Pretore (cfr. supra consid. 1.1) a favore di CV 1 spetta a saldo (DTF 129 V 254) un accredito di fr. 18'512.83 ([56'631.37 - 19'605.63] : 2).</w:t>
      </w:r>
    </w:p>
    <w:p>
      <w:r>
        <w:t>2.5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segue che, nel rispetto di quanto previsto dal nuovo art. 22c LFLP quo alla ripartizione tra parte obbligatoria e sovraobbligatoria, la AT 2 dovrà trasferire a favore di CV 1, presso CV 3 (contratto __________),la somma di fr. 18'512.83.</w:t>
      </w:r>
    </w:p>
    <w:p>
      <w:r>
        <w:t>Dovranno altresì essere corrispostigli interessi compensativial tasso minimo (per quanto concerne la parte obbligatoria; cfr. STF 9C_227/2009 del 25 settembre 2009) di cui ai combinati articoli 8a cpv. 1 OLP e 12 OPP2, rispettivamente, nella misura in cui superiore, a quello praticato dall'istituto debitorematurati su suddetto importo dal 20 settembre 2022 esino al momento dell'effettivo trasferimento (DTF 129 V 255;STF B 73/02 dell8 aprile 2003, STF B 113/02 dell8 luglio 2003, STF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interessi di mora giusta i combinati articoli 7 OLP e 12 OPP2 (DTF 129 V 257; STFA B 105/02 del 4 settembre 2003).</w:t>
      </w:r>
    </w:p>
    <w:p>
      <w:r>
        <w:t>2.6  La procedura è gratuita (art. 73 cpv. 2 LPP, art. 29 cpv. 1 Lptca).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