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34.2023.12 vom 11. August 2023</w:t>
      </w:r>
    </w:p>
    <w:p>
      <w:r>
        <w:t>TI Tribunale d'appello, 2023-08-11, IT</w:t>
      </w:r>
    </w:p>
    <w:p>
      <w:r>
        <w:rPr>
          <w:b/>
        </w:rPr>
        <w:t xml:space="preserve">Quelle: </w:t>
      </w:r>
      <w:r>
        <w:t>https://mcp.opencaselaw.ch/entscheid/ti_gerichte_34.2023.12</w:t>
      </w:r>
    </w:p>
    <w:p>
      <w:r>
        <w:t>FR: TI_GERICHTE 34.2023.12 du 11 août 2023</w:t>
      </w:r>
    </w:p>
    <w:p>
      <w:r>
        <w:t>IT: TI_GERICHTE 34.2023.12 del 11 agosto 2023</w:t>
      </w:r>
    </w:p>
    <w:p>
      <w:pPr>
        <w:pStyle w:val="Heading2"/>
      </w:pPr>
      <w:r>
        <w:t>Volltext</w:t>
      </w:r>
    </w:p>
    <w:p>
      <w:r>
        <w:t>Incarto n.34.2023.12</w:t>
      </w:r>
    </w:p>
    <w:p>
      <w:r>
        <w:t>rg/gm</w:t>
      </w:r>
    </w:p>
    <w:p>
      <w:r>
        <w:t>Lugano</w:t>
      </w:r>
    </w:p>
    <w:p>
      <w:r>
        <w:t>11 agosto 2023</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31 maggio/1. giugno 2023 dalla Pretura di __________ (art. 281 cpv. 3 CPC; conguaglio della previdenza professionale a causa di divorzio) e che oppone</w:t>
      </w:r>
    </w:p>
    <w:p>
      <w:r>
        <w:t>1.AT 1</w:t>
      </w:r>
    </w:p>
    <w:p>
      <w:r>
        <w:t>2.AT 2</w:t>
      </w:r>
    </w:p>
    <w:p>
      <w:r>
        <w:t>contro</w:t>
      </w:r>
    </w:p>
    <w:p>
      <w:r>
        <w:t>1.CV 1</w:t>
      </w:r>
    </w:p>
    <w:p>
      <w:r>
        <w:t>2.CV 2</w:t>
      </w:r>
    </w:p>
    <w:p>
      <w:r>
        <w:t>consideratoin fatto e in diritto</w:t>
      </w:r>
    </w:p>
    <w:p>
      <w:r>
        <w:t>1.2 Il 31 maggio/1. giugno 2023 la Pretura ha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Competente ratione loci a statuire nel merito della presente causa è lo scrivente Tribunale quale giudice del luogo del divorzio competente secondo lart. 73 LPP (art. 25a cpv. 1 prima frase LFLP).</w:t>
      </w:r>
    </w:p>
    <w:p>
      <w:r>
        <w:t>2.2Le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nel caso concreto la procedura di divorzio essendo stata promossa il 15 novembre 2019 (cfr. I).</w:t>
      </w:r>
    </w:p>
    <w:p>
      <w:r>
        <w:t>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15 novembre 2019.</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2.3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Una divisione ex art. 25a LFLP implica come premessa lacquisizione durante il matrimonio di una prestazione duscita da dividersi a norma degli artt. 122 e segg. CC e degli artt. 22 e segg. LFLP, la cui applicazione presuppone laffiliazione ad un istituto di previdenza professionale, rispettiva­mente lesistenza di un diritto del/i coniuge/i ad una presta­zione duscita nei confronti di un tale istituto (la nozione di istituto di previdenza professionale comprende sia gli istituti di previdenza in senso stretto che gli istituti di libero passaggio; cfr. Sutter/Freiburghaus, Kommentar zum neuen Scheidungsrecht, 1999, art. 122/141-142, n. 3;Baumann/ Lauterburg, in: Fam/Pra/Kommentar, art. 122 n. 6ss).</w:t>
      </w:r>
    </w:p>
    <w:p>
      <w:r>
        <w:t>2.4</w:t>
      </w:r>
    </w:p>
    <w:p>
      <w:r>
        <w:t>2.4.1  Dalla documentazione agli atti e dalle allegazioni delle parti non risulta che alla data del matrimonio (15 novembre 1984) AT 1 e CV 1 disponessero di averi previdenziali suscettibili di essere considerati ai sensi dellart. 22a cpv. 1 seconda frase LFLP (cfr. supra consid. 2.2).</w:t>
      </w:r>
    </w:p>
    <w:p>
      <w:r>
        <w:t>2.4.2  Dal fascicolo emerge per contro che al momento determinante per il riparto (15 novembre 2019) AT 1 disponeva di un avere previdenziale divisibile di fr. 142'067.34 su un conto ad esso intestato presso AT 2, dove nel maggio 2019 era stato trasferito limporto di fr. 142'040.83 per ordine di __________ (cfr. comunicazione 28 ottobre 2021 di AT 2 sub II-4) quale amministratore della Cassa __________ (cfr. XIII).</w:t>
      </w:r>
    </w:p>
    <w:p>
      <w:r>
        <w:t>Dagli atti emerge inoltre che nel febbraio 2004 egli ha effettuato un prelievo per il finanziamento dellabitazione primaria di fr. 68'168 (cfr. scritto __________ 23 giugno 2023 al TCA sub XIII, cfr. comunicazione 28 ottobre 2021 di AT 2 sub II-4, cfr. osservazioni 9 giugno 2023 di AT 1 al TCA sub VI).</w:t>
      </w:r>
    </w:p>
    <w:p>
      <w:r>
        <w:t>Ora, se i coniugi divorziano prima del sopraggiungere di un caso di previdenza, il prelievo anticipato per il finanziamento dellabita-zione ad uso proprio è considerato una prestazione di libero passaggio ed è diviso secondo gli artt. 123 CC, 280 e 281 CPC e 22-22b LFLP (art. 30c cpv. 1 e 6 LPP).Capitali previdenziali prelevati per il finanziamento dellabitazione primaria  e per i quali sussisteancora lobbligo di rimborso (art. 30d LPP) al momento del divorzio (DTF 128 V 235 consid. 3b)  non perdono infatti la loro natura previdenziale ma mantengono il proprio valore nominale sino al divorzio e devono quindi essere contabilizzati nella prestazione esistente a tale momento ed essere considerati come una prestazione da dividersi conformemente agli artt.122 e segg. CC e 22 e segg. LFLP (art. 30c cpv. 1 e 6 LPP, art. 331e cpv. 6 CO; DTF 133 V 29, 132 V 332, 128 V 230; in argomento vedi Bäder Federspiel, Wohneigentumsförderung und Scheidung, 2008, pp. 261ss, n. 531ss; Brunner, Die Berücksichtigung von Vorbezügen für Wohneigentum bei der Teilung der Austrittleistung nach Art. 122 ZGB, in ZBJV 2000 pp. 536ss).</w:t>
      </w:r>
    </w:p>
    <w:p>
      <w:r>
        <w:t>Lart. 22a cpv. 3 LFLP prevede che, in caso di prelievi anticipati secondo gli artt. 30c LPP e 331e CO effettuati durante il matrimonio, il deflusso di capitali e gli interessi persi vengono addebitati proporzionalmente allavere acquisito prima del matrimonio e a quello accumulato successivamente sino al momento del prelievo.</w:t>
      </w:r>
    </w:p>
    <w:p>
      <w:r>
        <w:t>Considerato che nel caso in disamina lintero avere previdenziale  e quindi anche quello fatto oggetto di prelievo  è stato acquisito in costanza di matrimonio, ai fini del riparto limporto prelevato di fr. 68168 va computato interamente, non risultando segnatamente lesistenza di averi previdenziali in data 15 novembre 1984.</w:t>
      </w:r>
    </w:p>
    <w:p>
      <w:r>
        <w:t>Per il che, lavere previdenziale di AT 1 da sottoporre a divisione va cifrato in fr. 210'235.34 (142'067.34+ 68168).</w:t>
      </w:r>
    </w:p>
    <w:p>
      <w:r>
        <w:t>2.4.3  Dalla documentazione in atti risulta che alla data del riparto (15 novembre 2019)CV 1disponeva di un avere divisibile di fr. 324.50 presso CV 2 (cfr. X-1).</w:t>
      </w:r>
    </w:p>
    <w:p>
      <w:r>
        <w:t>2.4.4Stante quanto precede, richiamata la chiave di ripartizione stabilita dal Pretore aggiunto (cfr. supra consid. 1.1) a favore di CV 1 spetta a saldo (DTF 129 V 254) un accredito di fr. 104'955.42 ([210'235.34 -324.50] : 2).</w:t>
      </w:r>
    </w:p>
    <w:p>
      <w:r>
        <w:t>2.5  Non compete per il resto allo scrivente Giudicechiamato a procedere al conguaglio giusta lart. 25a LFLP in base alla chiave di ripartizione (vincolante:DTF 132 V 337, 130 III 341, 128 V 46) stabilita dal giudice del divorzio al quale in concreto spettava stabilire eventuali deroghe allimmediato versamento del conguaglio a favore del coniuge creditorestatuire, in aggiunta a quanto disposto dal Pretore, sulla richiesta (peraltro nemmeno fatta oggetto di un accordo con controparte) formulata nelle more della presente procedura dallex marito (cfr. XVII) e tendente a far sì che laccredito del conguaglio a favore dellex moglie avvenga solo dopo la vendita ai pubblici incanti dellimmobile in comproprietà finanziato (in parte) con il predetto prelievo (e quindi solo allorquandosi sarannoliberati FRS. 68168), vendita che, come da disposizione pretorile (cfr. dispositivo n. 2 della sentenza di divorzio), dovrà aver luogo entro fine novembre 2023 ad opera del notaio __________ e alle condizioni poste nel citato dispositivo. E nemmeno compete allo scrivente Giudice da un lato impartire al notaio incaricato indicazioni vincolanti (chieste dallex marito) in considerazione del fatto che del prelievonon vi è alcuna menzione a Registro Fondiario, dallaltro stabilire in sentenza che il versamento dellimporto a favore della ex moglie avvenga solo previarestituzione nella Cassa pensione del sig. AT 1 dellimporto da esso prelevato di fr. 68'168.</w:t>
      </w:r>
    </w:p>
    <w:p>
      <w:r>
        <w:t>2.6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segue che, nel rispetto di quanto previsto dal nuovo art. 22c LFLP quo alla ripartizione tra parte obbligatoria e sovraobbligatoria, Rendita dovrà trasferire a favore di CV 1, presso CV 2,la somma di fr. 104'955.42.</w:t>
      </w:r>
    </w:p>
    <w:p>
      <w:r>
        <w:t>Dovranno altresì essere corrispostigli 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 dal 15 novembre 2019 esino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 AT 1 durante il matrimonio e soggetto a divisione ammonta a fr. 210'235.34.</w:t>
      </w:r>
    </w:p>
    <w:p>
      <w:r>
        <w:t>2.-Lavere di previdenza acquisito da CV 1 durante il matrimonio e soggetto a divisione ammonta a fr.324.50.</w:t>
      </w:r>
    </w:p>
    <w:p>
      <w:r>
        <w:t>3.-  È fatto ordine a AT 2di versare, a debito del conto n. __________ intestato a AT 1 e a favore di CV 1 presso CV 2,la somma di fr. 104'955.42 oltre interessi compensativi dal 15 novembre 2019.</w:t>
      </w:r>
    </w:p>
    <w:p>
      <w:r>
        <w:t>4.-  Non si percepisce tassa di giustizia, mentre le spese sono poste a carico dello Stato. Non si assegnano ripetibili.</w:t>
      </w:r>
    </w:p>
    <w:p>
      <w:r>
        <w:t>5.-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