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34.2022.37 vom 27. Februar 2023</w:t>
      </w:r>
    </w:p>
    <w:p>
      <w:r>
        <w:t>TI Tribunale d'appello, 2023-02-27, IT</w:t>
      </w:r>
    </w:p>
    <w:p>
      <w:r>
        <w:rPr>
          <w:b/>
        </w:rPr>
        <w:t xml:space="preserve">Quelle: </w:t>
      </w:r>
      <w:r>
        <w:t>https://mcp.opencaselaw.ch/entscheid/ti_gerichte_34.2022.37</w:t>
      </w:r>
    </w:p>
    <w:p>
      <w:r>
        <w:t>FR: TI_GERICHTE 34.2022.37 du 27 février 2023</w:t>
      </w:r>
    </w:p>
    <w:p>
      <w:r>
        <w:t>IT: TI_GERICHTE 34.2022.37 del 27 febbraio 2023</w:t>
      </w:r>
    </w:p>
    <w:p>
      <w:pPr>
        <w:pStyle w:val="Heading2"/>
      </w:pPr>
      <w:r>
        <w:t>Volltext</w:t>
      </w:r>
    </w:p>
    <w:p>
      <w:r>
        <w:t>Incarto n.34.2022.37</w:t>
      </w:r>
    </w:p>
    <w:p>
      <w:r>
        <w:t>RG/sc</w:t>
      </w:r>
    </w:p>
    <w:p>
      <w:r>
        <w:t>Lugano</w:t>
      </w:r>
    </w:p>
    <w:p>
      <w:r>
        <w:t>27 febbraio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15/18 novembre 2022 dalla Pretura di __________ (art. 281 cpv. 3 CPC) e che oppone</w:t>
      </w:r>
    </w:p>
    <w:p>
      <w:r>
        <w:t>AT 1</w:t>
      </w:r>
    </w:p>
    <w:p>
      <w:r>
        <w:t>a</w:t>
      </w:r>
    </w:p>
    <w:p>
      <w:r>
        <w:t>1.CV 1</w:t>
      </w:r>
    </w:p>
    <w:p>
      <w:r>
        <w:t>2.CV 2</w:t>
      </w:r>
    </w:p>
    <w:p>
      <w:r>
        <w:t>rappr. da: RA 3</w:t>
      </w:r>
    </w:p>
    <w:p>
      <w:r>
        <w:t>conguaglio della previdenza professionale a causa di divorzio</w:t>
      </w:r>
    </w:p>
    <w:p>
      <w:r>
        <w:t>consideratoin fatto e in diritto</w:t>
      </w:r>
    </w:p>
    <w:p>
      <w:r>
        <w:t>1.2 Il 15/18 novembre 2022 la Pretura di __________ ha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nel caso concreto la procedura di divorzio essendo stata promossa con petizione 4 novembre 2019 (cfr. I).</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come indicato dal Pretore, il 4 novembre 2019.</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Una divisione ex art. 25a LFLP implica come premessa lacquisizione durante il matrimonio di una prestazione duscita da dividersi a norma degli artt. 122 e segg. CC e degli artt. 22 e segg. LFLP, la cui applicazione presuppone laffiliazione ad un istituto di previdenza professionale, rispettiva­mente lesistenza di un diritto del/i coniuge/i ad una presta­zione duscita nei confronti di un tale istituto (la nozione di istituto di previdenza professionale comprende sia gli istituti di previdenza in senso stretto che gli istituti di libero passaggio; cfr. Sutter/Freiburghaus, Kommentar zum neuen Scheidungsrecht, 1999, art. 122/141-142, n. 3;Baumann / Lauterburg, in: Fam/Pra/Kommentar, art. 122 n. 6ss).</w:t>
      </w:r>
    </w:p>
    <w:p>
      <w:r>
        <w:t>2.4</w:t>
      </w:r>
    </w:p>
    <w:p>
      <w:r>
        <w:t>2.4.1  Dalla documentazione in atti e dalle allegazioni di parte emerge che alla data del matrimonio (15 luglio 2007) CV 1 disponeva di una prestazione duscita di fr. 10'175.65 presso la CV 2dove è stato assicurato da luglio 2005 a dicembre 2007 quale dipendente di __________ (cfr. V). Al momento determinante per il riparto (4 novembre 2022) egli deteneva un avere divisibile di fr. 104'278.75 sempre presso la citata fondazione (contratto __________) ma quale dipendente, a far tempo da gennaio 2011, della __________ (cfr. V).</w:t>
      </w:r>
    </w:p>
    <w:p>
      <w:r>
        <w:t>Considerati ex art. 22a cpv. 1 seconda frase LFLP (cfr. supra consid. 2.2) gli interessi maturati sullavere presente alla data del matrimonio sino al momento determinate per il riparto in ragione di fr. 2'294.70  calcolatiapplicando il tasso minimo stabilito dal Consiglio federale (art. 8a cpv. 1 OLP e art. 12 OPP2;per il cal-colo cfr. www.gerichte.ch)  lavere soggetto a divisione accumu-lato da CV 1 deve essere cifrato in fr. 91'808.40 (104'278.75 -10'175.65  2'294.70).</w:t>
      </w:r>
    </w:p>
    <w:p>
      <w:r>
        <w:t>2.4.2  Listruttoria di causa ha permesso di accertare che al momento del matrimonioAT 1disponeva di un avere previdenziale di fr. 447.75 sul conto di libero passaggio n. __________ della __________ (cfr. estratto conto sub IX-D). Sul medesimo conto di libero passaggio alla data del riparto la ex moglie deteneva invece un avere di previdenza di fr. 7'981.56. (cfr. IX-D). Il suddetto conto è stato chiuso il 9 settembre 2022 con trasferimento dellintero avere ivi depositato (comprensivo anche degli averi nel frattempo accumulati presso gli istituti di previdenza __________, __________, __________, __________ e di __________) di fr.10'982.10 alla __________ (cfr. IX-D, XIV-1). Nelle more della presente procedurala ex moglieha comunicato al Tribunale di essere assicurata a far tempo dal 1. gennaio 2023 alla __________ quale dipendente di __________ (cfr. certificato di previdenza prodotto dallinteressata sub XXII-1).</w:t>
      </w:r>
    </w:p>
    <w:p>
      <w:r>
        <w:t>Considerati ex art. 22a cpv. 1 seconda frase LFLP (cfr. supra consid. 2.2) gli interessi maturati sullavere presente alla data del matrimonio sino al momento determinate per il riparto in ragione di fr. 100.97  calcolatiapplicando il tasso minimo stabilito dal Consiglio federale (art. 8a cpv. 1 OLP e art. 12 OPP2;per il calcolo cfr. www.gerichte.ch)  lavere soggetto a divisione accumulato da AT 1 deve essere cifrato in fr. 7'342.84 (7'891.56  447.75  100.97).</w:t>
      </w:r>
    </w:p>
    <w:p>
      <w:r>
        <w:t>2.4.3Stante quanto precede, richiamata la chiave di ripartizione stabilita dal Pretore (cfr. supra consid. 1.1), a favore di AT 1spetta a saldo (DTF 129 V 254) un accredito di fr. 42'232.78 ([91'808.40 -  7'342.84]: 2).</w:t>
      </w:r>
    </w:p>
    <w:p>
      <w:r>
        <w:t>2.5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segue che, nel rispetto di quanto previsto dal nuovo art. 22c LFLP quo alla ripartizione tra parte obbligatoria e sovra-obbligatoria, la CV 2 dovrà trasferire a favore di AT 1,presso __________, la somma di fr.fr.42'232.78. Dovranno altresì essere corrispostigli 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 dal 4 novembre 2019sino al momento dell'effettivo trasferimento (DTF 129 V 255;STF B 73/02 dell8 aprile 2003, STF B 113/02 dell8 luglio 2003, STF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2.6  La procedura è gratuita (art. 73 cpv. 2 LPP, art. 29 cpv. 1 Lptca). Non si assegnano ripetibili.</w:t>
      </w:r>
    </w:p>
    <w:p>
      <w:r>
        <w:t>Patrocinata in causa da un avvocato,AT 1ha instato per la concessione del gratuito patrocinio.</w:t>
      </w:r>
    </w:p>
    <w:p>
      <w:r>
        <w:t>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e la probabilità di esito favorevole del processo; l'intervento di un avvocato deve inoltre essere necessario alla corretta tutela degli interessi del richiedente (DTF 103 V 47 consid. 1b, 98 V 116; Pratique VSI 1989 p. 348 consid. 2a; STFA B 30/05 del 16 ottobre 2006 consid.5.2.2, B 27/06 del 1. dicembre 2006 consid. 3; Schwarzenbach-Hanhart, Die Rechtspflege nach dem BVG, in SZS 1983 p. 188; Zünd, Besonderheiten des Verfahrens vor Sozialversicherungsgericht (u.a. Art. 142 ZGB), in Mosimann (Hrsg.), Aktuelles in Sozialversicherungsrecht, 2001, pp. 159ss; cfr. anche artt.2, 3 e 7ss LAG).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pro multisDTF119 Ia 265s, 103 V 46; Zünd, cit., pp. 159-160; Müller, Grundrechte in der Schweiz, 1999, pp. 551s; con particolare riferimento alla procedura di divisione ex art. 25a LFLP e art. 73 LPP v. anche Schwegler, Vorsorgeausgleich bei Scheidung aus sozialversicherungsrechtlicher Sicht, in ZBJV 2010, p. 90).</w:t>
      </w:r>
    </w:p>
    <w:p>
      <w:r>
        <w:t>La fattispecie in esame non ha allevidenza presentato elementi di particolare difficoltà dal profilo istruttorio e non ha richiesto conoscenze tali da rendere necessario un patrocinio in causa. La presente procedura, retta peraltro dalla massima ufficiale e dal principio inquisitorio (Geiser/Senti, in: Schneider/Geiser/Gächter (éd), Commentaire LPP et LFLP, 2020, art. 25a, n. 14;Schwe-gler, op. cit., p. 90), ha potuto essere evasa sulla base dei documenti  di facile lettura  acquisiti agli atti, senza particolari interventi delle parti che necessitassero lassistenza di un legale.</w:t>
      </w:r>
    </w:p>
    <w:p>
      <w:r>
        <w:t>Difettando una delle condizioni richieste per la concessione del gratuito patrocinio, la relativa istanza deve di conseguenza es-sere respinta.</w:t>
      </w:r>
    </w:p>
    <w:p>
      <w:r>
        <w:t>Per questi motivi</w:t>
      </w:r>
    </w:p>
    <w:p>
      <w:r>
        <w:t>dichiara e pronuncia</w:t>
      </w:r>
    </w:p>
    <w:p>
      <w:r>
        <w:t>1.-  Lavere di previdenza acquisito da CV 1durante il matrimonio e soggetto a divisione ammonta a fr.91'808.40.</w:t>
      </w:r>
    </w:p>
    <w:p>
      <w:r>
        <w:t>2.-  Lavere di previdenza acquisito da AT 1durante il matrimonio e soggetto a divisione ammonta a fr.7'342.84.</w:t>
      </w:r>
    </w:p>
    <w:p>
      <w:r>
        <w:t>3.-  È fatto ordine alla CV 2(contratto __________) di versare a favore di AT 1, presso __________ (contratto __________), limporto di fr. 42'232.78 oltre interessi compensativi dal 4 novembre 2019.</w:t>
      </w:r>
    </w:p>
    <w:p>
      <w:r>
        <w:t>4.-  La domanda di gratuito patrocinio diAT 1èrespinta.</w:t>
      </w:r>
    </w:p>
    <w:p>
      <w:r>
        <w:t>5.-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