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34.2022.24 vom 7. September 2022</w:t>
      </w:r>
    </w:p>
    <w:p>
      <w:r>
        <w:t>TI Tribunale d'appello, 2022-09-07, IT</w:t>
      </w:r>
    </w:p>
    <w:p>
      <w:r>
        <w:rPr>
          <w:b/>
        </w:rPr>
        <w:t xml:space="preserve">Quelle: </w:t>
      </w:r>
      <w:r>
        <w:t>https://mcp.opencaselaw.ch/entscheid/ti_gerichte_34.2022.24</w:t>
      </w:r>
    </w:p>
    <w:p>
      <w:r>
        <w:t>FR: TI_GERICHTE 34.2022.24 du 7 septembre 2022</w:t>
      </w:r>
    </w:p>
    <w:p>
      <w:r>
        <w:t>IT: TI_GERICHTE 34.2022.24 del 7 settembre 2022</w:t>
      </w:r>
    </w:p>
    <w:p>
      <w:pPr>
        <w:pStyle w:val="Heading2"/>
      </w:pPr>
      <w:r>
        <w:t>Volltext</w:t>
      </w:r>
    </w:p>
    <w:p>
      <w:r>
        <w:t>Incarto n.34.2022.24</w:t>
      </w:r>
    </w:p>
    <w:p>
      <w:r>
        <w:t>rg/sc</w:t>
      </w:r>
    </w:p>
    <w:p>
      <w:r>
        <w:t>Lugano</w:t>
      </w:r>
    </w:p>
    <w:p>
      <w:r>
        <w:t>7 settembre 2022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nella causa rimessagli il 30/31 agosto 2022 dalla Pretura di __________ (art. 281 cpv. 3 CPC) e che oppone</w:t>
      </w:r>
    </w:p>
    <w:p>
      <w:r>
        <w:t>AT 1</w:t>
      </w:r>
    </w:p>
    <w:p>
      <w:r>
        <w:t>a</w:t>
      </w:r>
    </w:p>
    <w:p>
      <w:r>
        <w:t>CV 1</w:t>
      </w:r>
    </w:p>
    <w:p>
      <w:r>
        <w:t>conguaglio della previdenza professionale a causa di divorzio</w:t>
      </w:r>
    </w:p>
    <w:p>
      <w:r>
        <w:t>consideratoin fatto e in diritto</w:t>
      </w:r>
    </w:p>
    <w:p>
      <w:r>
        <w:t>1.2 Il 30/31 agosto 2022 il Pretore aggiunto ha rimesso la causa allo scrivente Tribunale (TCA) quale autorità giudiziaria competente ai sensi degli artt. 25a cpv. 1 LFLP e 73 cpv. 1 LPP (art. 281 cpv. 3 CPC; cfr. II).</w:t>
      </w:r>
    </w:p>
    <w:p>
      <w:r>
        <w:t>2.1 La presente vertenza non pone questioni giuridiche di principio e non è di rilevante importanza (ad esempio per la difficoltà delli-struttoria o della valutazione delle prove). Il TCA può dunque de-cidere nella composizione monocratica ai sensi dellart. 49 cpv. 2 LOG (pro multis cfr. STF 9C_699/2014 del 31 agosto 2015, 9C_211/ 2010 del 18 febbraio 2011, 9C_792/2007 del 7 novembre 2008).</w:t>
      </w:r>
    </w:p>
    <w:p>
      <w:r>
        <w:t>2.2  Competente ratione loci a statuire nel merito della presente causa è lo scrivente Tribunale quale giudice del luogo del divorzio competente secondo lart. 73 LPP (art. 25a cpv. 1 prima frase LFLP).</w:t>
      </w:r>
    </w:p>
    <w:p>
      <w:r>
        <w:t>Le disposizioni di cui agli artt. 122-124 CC, 5 e 22-25a LFLP e 280-281 CPC menzionati nel presente giudizio sono quelle in vigore dal 1. gennaio 2017 a seguito della modifica del Codice civile svizzero del 19 giugno 2015 concernente il conguaglio della previdenza professionale in caso di divorzio.</w:t>
      </w:r>
    </w:p>
    <w:p>
      <w:r>
        <w:t>2.3  Lesecuzione della divisione secondo gli artt. 122 e segg. CC e 22 e segg. LFLP delle prestazioni duscita da parte del giudice della previdenza (art. 73 LPP)del luogo del divorzio (25a cpv. 1 LFLP; in casu lo scrivente Tribunale cantonale delle assicurazioni) presuppone una decisione del giudice del divorzio che  stante limpossibilità diprendere una decisione sul conguaglio della previdenza professionale conformemente agli articoli 280 o 281 CPC fissi la chiave di ripartizione degli averi previdenziali, ritenuto che questa chiave è vincolante per il giudice della previdenza di cui agli artt. 73 LPP e 25a cpv. 1 LFLP il cui compito, dal profilo materiale, è limitato allesecuzione di quanto stabilito dal giudice civile (DTF 132 V 337, 130 III 341, 128 V 46; BK, Berufliche Vorsorge, ad art. 281 ZPO, n. 10-11; cfr. art. 281 cpv. 2 CPC, art. 25a cpv. 1 prima frase LFLP).</w:t>
      </w:r>
    </w:p>
    <w:p>
      <w:r>
        <w:t>Una divisione ex art. 25a LFLP implica inoltre lacquisizione durante il matrimonio di una prestazione duscita da dividersi a norma dellart. 122 e segg. CC e degli artt. 22 e segg. LFLP, la cui applicazione presuppone laffiliazione ad un istituto di previdenza professionale, rispettivamente lesistenza di un diritto del/i coniuge/i ad una prestazione duscita nei confronti di un tale istituto (la nozione di istituto di previdenza professionale comprende sia gli istituti di previdenza in senso stretto che gli istituti di libero passaggio; cfr. Sutter/Freiburghaus, Kommentar zum neuen Scheidungsrecht, 1999, art. 122/141-142, n. 3;Baumann/Lauterburg, in Fam/Pra/Kommentar, art. 122 n. 6ss).</w:t>
      </w:r>
    </w:p>
    <w:p>
      <w:r>
        <w:t>2.4  Nella fattispecie in esame il giudice del divorzio, come accennato, ha omologato laccordo nel quale le parti, ritenuta lasserita impossibilità di procedere al conguaglio, hanno chiesto di applicare lart. 126e CC e riservata lapplicazione dellart. 124b CC.</w:t>
      </w:r>
    </w:p>
    <w:p>
      <w:r>
        <w:t>Premesso che lart. 126e CC richiamato dalle parti nellomologata [sic!] pattuizione non esiste e che non può in realtà che trattarsi dellart. 124e CC (conguaglio impossibile), quanto disposto dal Pretore aggiunto non è attuabile nella presente sede.</w:t>
      </w:r>
    </w:p>
    <w:p>
      <w:r>
        <w:t>2.4.1  Per quanto concerne lart. 124b CC (eccezioni alla divisione a metà), non risulta essere stata decisa dal Pretore la chiave di ripartizione (non paritaria) secondo cui i presunti averi previdenziali dovrebbero essere divisi, ritenuto che ladecisione circa una diversa chiave di riparto e quindi quella a sapere se siano dati i presupposti dellart. 124b CC  se vi siano cioè motivi giustificanti una deroga al principio della divisione per metà rispettivamente la rinuncia (da parte dei coniugi) o il rifiuto (da parte del giudice) della divisione  è di esclusiva competenza del giudice del divorzio (Geiser,BSK ZGB I, Art. 124b n. 35;Pichonnaz, Commentaire Romand, Code civil I, art. 123 n. 30; Stauffer/Baud, BSK Berufliche Vorsorge, Art. 124b ZGB n. 5) e sfugge quindi allesame della scrivente Corte.</w:t>
      </w:r>
    </w:p>
    <w:p>
      <w:r>
        <w:t>2.4.2  Quo allapplicazione dellart. 124e CC(cfr. art. 124 vCC in vigore fino al 31 dicembre 2016),secondo cuise il conguaglio dei fondi della previdenza professionale è impossibile(per esempio in caso di pretese di previdenza allestero o di averi usciti dal circuito previdenziale a seguito di versamento in contanti),il coniuge debitore deve al coniuge creditore unindennità adeguata sotto forma di li-quidazione in capitale o di rendita, la relativa decisione è an-chessa di esclusiva competenza del giudice del divorzio(STF 9C_350/2016 del 4 maggio 2017 consid. 5.2; DTF 133 V 205 consid. 5.3; cfr. anche Geiser, Gestaltungsmöglichkeiten beim Vorsorgeausgleich, in ZBJV 2017, pp. 19-20)e non compete allo scrivente Tribunale in applicazione degli art. 25a LFLP e 73 LPP (DTF 127 III 437 consid. 2b con riferimenti;JdT2002 p. 350;Zünd,Schriftliche Zustimmung zur Barauszahlung der Austrittleistung an Verheiratete und die Folgen bei gefälschter oder fehlender Unterschrift, in AJP 2002, pp. 662ss, 664;Schneider/ Bruchez,in SVZ 2000, p. 255;Vetterli/Keel,in AJP 1999, p. 1622;Grütter/Summermatter, in FamPra 2002, pp. 641ss, 650; cfr. anche DTF 136 V 226 consid.5).</w:t>
      </w:r>
    </w:p>
    <w:p>
      <w:r>
        <w:t>In concreto spettava quindi al Pretore aggiunto determinareunindennità adeguata secondo il diritto e lequità ispirandosi alla regola dellart. 123 CC e valutando in seguito la concreta situazione economica delle parti, in specie dopo la liquidazione del regime dei beni e la loro situazione finanziaria dopo il divorzio (in argomento cfr. I CCA 11.2018.106, I CCA 11.2016.36). Anche i principi di cui allart. 124b cpv. 2 e 3 CC possono del resto orientare il giudice del divorzio chiamato a stabilire un indennizzo ai sensi dellart. 124e cpv. 1 CC(sul punto cfr.Leuba/Udry, Partage du 2epilier: premières expériences, inFountoulakis/Jungo(éd.), Entretien de lenfant et prévoyance professionnelle, 2018, p. 26;Grütter,Der neue Vorsorgeausgleich imüberblick, in FamPra.ch 2017, p. 151).</w:t>
      </w:r>
    </w:p>
    <w:p>
      <w:r>
        <w:t>2.5 Stante quanto sopra, non è dato procedere a divisione.</w:t>
      </w:r>
    </w:p>
    <w:p>
      <w:r>
        <w:t>Per questi motivi</w:t>
      </w:r>
    </w:p>
    <w:p>
      <w:r>
        <w:t>dichiara e pronuncia</w:t>
      </w:r>
    </w:p>
    <w:p>
      <w:r>
        <w:t>1.-  Non si fa luogo a divisione.</w:t>
      </w:r>
    </w:p>
    <w:p>
      <w:r>
        <w:t>2.-  Non si percepisce tassa di giustizia, mentre le spese sono poste a carico dello Stato.</w:t>
      </w:r>
    </w:p>
    <w:p>
      <w:r>
        <w:t>3.-  Comunicazione agli interessati i quali possono impugnare il presente giudizio con ricorso in materia di diritto pubblico alTribunale federale, Schweizerhofquai 6, 6004 Lucerna, entro 30 giorni dalla comunicazione.</w:t>
      </w:r>
    </w:p>
    <w:p>
      <w:r>
        <w:t>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